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F729" w14:textId="77777777" w:rsidR="003C1614" w:rsidRPr="003C1614" w:rsidRDefault="003C1614" w:rsidP="003C161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C1614">
              <w:rPr>
                <w:rFonts w:cs="Arial"/>
                <w:b/>
                <w:bCs/>
                <w:sz w:val="22"/>
                <w:szCs w:val="22"/>
              </w:rPr>
              <w:t>Multiresistente Erreger (MRE)</w:t>
            </w:r>
          </w:p>
          <w:p w14:paraId="00137BE1" w14:textId="3B67E185" w:rsidR="00385DC7" w:rsidRPr="003C1614" w:rsidRDefault="003C1614" w:rsidP="003C1614">
            <w:pPr>
              <w:rPr>
                <w:rFonts w:cs="Arial"/>
                <w:sz w:val="22"/>
                <w:szCs w:val="22"/>
              </w:rPr>
            </w:pPr>
            <w:r w:rsidRPr="003C1614">
              <w:rPr>
                <w:rFonts w:cs="Arial"/>
                <w:sz w:val="22"/>
                <w:szCs w:val="22"/>
              </w:rPr>
              <w:t xml:space="preserve">(z. B. MRSA – </w:t>
            </w:r>
            <w:proofErr w:type="spellStart"/>
            <w:r w:rsidRPr="003C1614">
              <w:rPr>
                <w:rFonts w:cs="Arial"/>
                <w:sz w:val="22"/>
                <w:szCs w:val="22"/>
              </w:rPr>
              <w:t>Methicillinresistente</w:t>
            </w:r>
            <w:proofErr w:type="spellEnd"/>
            <w:r w:rsidRPr="003C161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1614">
              <w:rPr>
                <w:rFonts w:cs="Arial"/>
                <w:sz w:val="22"/>
                <w:szCs w:val="22"/>
              </w:rPr>
              <w:t>Staphylococcus</w:t>
            </w:r>
            <w:proofErr w:type="spellEnd"/>
            <w:r w:rsidRPr="003C161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1614">
              <w:rPr>
                <w:rFonts w:cs="Arial"/>
                <w:sz w:val="22"/>
                <w:szCs w:val="22"/>
              </w:rPr>
              <w:t>aureus</w:t>
            </w:r>
            <w:proofErr w:type="spellEnd"/>
            <w:r w:rsidRPr="003C1614">
              <w:rPr>
                <w:rFonts w:cs="Arial"/>
                <w:sz w:val="22"/>
                <w:szCs w:val="22"/>
              </w:rPr>
              <w:t>, MRGN – Multiresistente gramnegative Stäbchen)</w:t>
            </w: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4F850328" w14:textId="2E736F52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</w:p>
    <w:p w14:paraId="3CD6F717" w14:textId="5A6CC60A" w:rsidR="00665BCF" w:rsidRDefault="00665BCF" w:rsidP="00665BCF">
      <w:pPr>
        <w:jc w:val="both"/>
      </w:pP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</w:t>
      </w:r>
      <w:proofErr w:type="spellStart"/>
      <w:r>
        <w:t>impfpräventablen</w:t>
      </w:r>
      <w:proofErr w:type="spellEnd"/>
      <w:r>
        <w:t xml:space="preserve">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 xml:space="preserve">Patienten mit übertragbaren Krankheiten; Prävention und Kontrolle von </w:t>
      </w:r>
      <w:proofErr w:type="spellStart"/>
      <w:r>
        <w:t>Methicillinresistenten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01BCC7C4" w14:textId="77777777" w:rsidR="00523950" w:rsidRDefault="00523950" w:rsidP="00523950">
      <w:pPr>
        <w:jc w:val="both"/>
      </w:pPr>
    </w:p>
    <w:p w14:paraId="525FFDE2" w14:textId="77777777" w:rsidR="003C1614" w:rsidRPr="003C1614" w:rsidRDefault="003C1614" w:rsidP="003C1614">
      <w:pPr>
        <w:jc w:val="both"/>
        <w:rPr>
          <w:b/>
          <w:bCs/>
        </w:rPr>
      </w:pPr>
      <w:r w:rsidRPr="003C1614">
        <w:rPr>
          <w:b/>
          <w:bCs/>
        </w:rPr>
        <w:t>Multiresistente Erreger (MRE)</w:t>
      </w:r>
    </w:p>
    <w:p w14:paraId="3BCCE8F1" w14:textId="06F2704A" w:rsidR="003C1614" w:rsidRDefault="003C1614" w:rsidP="003C1614">
      <w:pPr>
        <w:jc w:val="both"/>
      </w:pPr>
      <w:r>
        <w:t xml:space="preserve">(z. B. MRSA – </w:t>
      </w:r>
      <w:proofErr w:type="spellStart"/>
      <w:r>
        <w:t>Methicillinresistente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,</w:t>
      </w:r>
      <w:r>
        <w:t xml:space="preserve"> </w:t>
      </w:r>
      <w:r>
        <w:t>MRGN – Multiresistente gramnegative Stäbchen)</w:t>
      </w:r>
    </w:p>
    <w:p w14:paraId="1DCA6BAD" w14:textId="77777777" w:rsidR="003C1614" w:rsidRDefault="003C1614" w:rsidP="003C1614">
      <w:pPr>
        <w:jc w:val="both"/>
      </w:pPr>
    </w:p>
    <w:p w14:paraId="703B335A" w14:textId="77777777" w:rsidR="003C1614" w:rsidRDefault="003C1614" w:rsidP="003C1614">
      <w:pPr>
        <w:jc w:val="both"/>
      </w:pPr>
      <w:r>
        <w:t>Je nach Übertragungsgefahr (z. B. aktives Husten und Niesen bei MRSA-Besiedlung</w:t>
      </w:r>
      <w:r>
        <w:t xml:space="preserve"> </w:t>
      </w:r>
      <w:r>
        <w:t xml:space="preserve">im Nasen-Rachen-Raum) ist der Patient möglichst direkt in das Behandlungszimmer zu </w:t>
      </w:r>
      <w:r>
        <w:lastRenderedPageBreak/>
        <w:t xml:space="preserve">bringen. Er nimmt möglichst nicht im Wartezimmer Platz. </w:t>
      </w:r>
    </w:p>
    <w:p w14:paraId="0CBCAFAE" w14:textId="3FF1ED44" w:rsidR="003C1614" w:rsidRDefault="003C1614" w:rsidP="003C1614">
      <w:pPr>
        <w:jc w:val="both"/>
      </w:pPr>
      <w:r>
        <w:t>Im Behandlungszimmer sollte der MRE</w:t>
      </w:r>
      <w:r>
        <w:t>-</w:t>
      </w:r>
      <w:r>
        <w:t>Träger zur Durchführung einer Händedesinfektion angeleitet werden. Bei zu erwartenden</w:t>
      </w:r>
      <w:r>
        <w:t xml:space="preserve"> </w:t>
      </w:r>
      <w:r>
        <w:t>Hustenstößen sollte er selbst Mund-Nasen-Schutz anlegen.</w:t>
      </w:r>
    </w:p>
    <w:p w14:paraId="7FAF36C5" w14:textId="77777777" w:rsidR="003C1614" w:rsidRDefault="003C1614" w:rsidP="003C1614">
      <w:pPr>
        <w:jc w:val="both"/>
      </w:pPr>
    </w:p>
    <w:p w14:paraId="1BFEB16B" w14:textId="324A7AFA" w:rsidR="003C1614" w:rsidRDefault="003C1614" w:rsidP="003C1614">
      <w:pPr>
        <w:jc w:val="both"/>
      </w:pPr>
      <w:r>
        <w:t>Der behandelnde Arzt und betreuende Mitarbeiter legen – z. B. vor Verbandwechsel – Schutzkleidung an. Bei Kontakt zu Wunden, Schleimhaut oder nachweislich MRE-betroffenen Körperstellen des Patienten trägt der Behandelnde Einmalhandschuhe. Bei rein sozialem Kontakt (z. B.</w:t>
      </w:r>
      <w:r>
        <w:t xml:space="preserve"> </w:t>
      </w:r>
      <w:r>
        <w:t>Händeschütteln) sind Einmalhandschuhe nicht erforderlich. Nach dem Patientenkontakt</w:t>
      </w:r>
      <w:r>
        <w:t xml:space="preserve"> </w:t>
      </w:r>
      <w:r>
        <w:t>erfolgt eine Händedesinfektion.</w:t>
      </w:r>
    </w:p>
    <w:p w14:paraId="6F862558" w14:textId="77777777" w:rsidR="003C1614" w:rsidRDefault="003C1614" w:rsidP="003C1614">
      <w:pPr>
        <w:jc w:val="both"/>
      </w:pPr>
    </w:p>
    <w:p w14:paraId="14E90827" w14:textId="6E5C8C7A" w:rsidR="003C1614" w:rsidRDefault="003C1614" w:rsidP="003C1614">
      <w:pPr>
        <w:jc w:val="both"/>
      </w:pPr>
      <w:r>
        <w:t>Das Anlegen eines Mund-Nasen-Schutzes ist nur bei Maßnahmen, bei denen infektiöse Tröpfchen (z. B. Absaugen, Wundspülungen) entstehen oder bei Besiedelung des Nasen-</w:t>
      </w:r>
      <w:proofErr w:type="spellStart"/>
      <w:r>
        <w:t>RachenRaums</w:t>
      </w:r>
      <w:proofErr w:type="spellEnd"/>
      <w:r>
        <w:t xml:space="preserve"> und zu erwartenden Hustenstößen des Patienten erforderlich.</w:t>
      </w:r>
    </w:p>
    <w:p w14:paraId="0A2474B4" w14:textId="77777777" w:rsidR="003C1614" w:rsidRDefault="003C1614" w:rsidP="003C1614">
      <w:pPr>
        <w:jc w:val="both"/>
      </w:pPr>
    </w:p>
    <w:p w14:paraId="3AEA4974" w14:textId="08539915" w:rsidR="003C1614" w:rsidRDefault="003C1614" w:rsidP="003C1614">
      <w:pPr>
        <w:jc w:val="both"/>
      </w:pPr>
      <w:r>
        <w:t>Nach der Untersuchung und Behandlung erfolgt eine hygienische Händedesinfektion durch</w:t>
      </w:r>
    </w:p>
    <w:p w14:paraId="38EBB0D6" w14:textId="4A00C679" w:rsidR="003C1614" w:rsidRDefault="003C1614" w:rsidP="003C1614">
      <w:pPr>
        <w:jc w:val="both"/>
      </w:pPr>
      <w:r>
        <w:t>Arzt und Mitarbeiter, eine Flächendesinfektion der Hand- und Hautkontaktstellen (z. B.</w:t>
      </w:r>
      <w:r>
        <w:t xml:space="preserve"> </w:t>
      </w:r>
      <w:r>
        <w:t>Patientenstuhl, Untersuchungsliege, Türklinke) sowie eine Wischdesinfektion der verwendeten</w:t>
      </w:r>
      <w:r>
        <w:t xml:space="preserve"> </w:t>
      </w:r>
      <w:r>
        <w:t>unkritischen Medizinprodukte (z. B. Stethoskop, Blutdruckmanschette oder vergleichbare</w:t>
      </w:r>
      <w:r>
        <w:t xml:space="preserve"> </w:t>
      </w:r>
      <w:r>
        <w:t>Utensilien). Die Desinfektionsmittel müssen für die jeweilige Anwendung geeignet sein.</w:t>
      </w:r>
    </w:p>
    <w:p w14:paraId="782CC99C" w14:textId="77777777" w:rsidR="003C1614" w:rsidRDefault="003C1614" w:rsidP="003C1614">
      <w:pPr>
        <w:jc w:val="both"/>
      </w:pPr>
    </w:p>
    <w:p w14:paraId="630B3516" w14:textId="68620718" w:rsidR="00640670" w:rsidRDefault="003C1614" w:rsidP="003C1614">
      <w:pPr>
        <w:jc w:val="both"/>
      </w:pPr>
      <w:r>
        <w:t>Der Patient wird darauf hingewiesen, dass er einen Toilettengang beim Praxispersonal anzukündigen hat, damit im Anschluss eine Flächendesinfektion von WC-Brille, Spültaste, Armatur</w:t>
      </w:r>
      <w:r>
        <w:t xml:space="preserve"> </w:t>
      </w:r>
      <w:r>
        <w:t>am Waschbecken, Türriegel und Türklinken mit Flächendesinfektionsmittel durch das Praxispersonal erfolgen kann. Alternativ kann ein Desinfektionsmittel inkl. einer Anleitung zur</w:t>
      </w:r>
      <w:r>
        <w:t xml:space="preserve"> </w:t>
      </w:r>
      <w:r>
        <w:t>Anwendung bereitgestellt werden.</w:t>
      </w:r>
    </w:p>
    <w:sectPr w:rsidR="00640670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B89C" w14:textId="77777777" w:rsidR="006165EF" w:rsidRDefault="006165EF">
      <w:r>
        <w:separator/>
      </w:r>
    </w:p>
  </w:endnote>
  <w:endnote w:type="continuationSeparator" w:id="0">
    <w:p w14:paraId="3B900F0A" w14:textId="77777777" w:rsidR="006165EF" w:rsidRDefault="0061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75BE" w14:textId="77777777" w:rsidR="006165EF" w:rsidRDefault="006165EF">
      <w:r>
        <w:rPr>
          <w:color w:val="000000"/>
        </w:rPr>
        <w:ptab w:relativeTo="margin" w:alignment="center" w:leader="none"/>
      </w:r>
    </w:p>
  </w:footnote>
  <w:footnote w:type="continuationSeparator" w:id="0">
    <w:p w14:paraId="537575CB" w14:textId="77777777" w:rsidR="006165EF" w:rsidRDefault="00616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4"/>
  </w:num>
  <w:num w:numId="2" w16cid:durableId="1247157333">
    <w:abstractNumId w:val="6"/>
  </w:num>
  <w:num w:numId="3" w16cid:durableId="1203058955">
    <w:abstractNumId w:val="8"/>
  </w:num>
  <w:num w:numId="4" w16cid:durableId="9374681">
    <w:abstractNumId w:val="2"/>
  </w:num>
  <w:num w:numId="5" w16cid:durableId="348720639">
    <w:abstractNumId w:val="4"/>
  </w:num>
  <w:num w:numId="6" w16cid:durableId="1118842059">
    <w:abstractNumId w:val="9"/>
  </w:num>
  <w:num w:numId="7" w16cid:durableId="809444674">
    <w:abstractNumId w:val="11"/>
  </w:num>
  <w:num w:numId="8" w16cid:durableId="1522091752">
    <w:abstractNumId w:val="12"/>
  </w:num>
  <w:num w:numId="9" w16cid:durableId="428359127">
    <w:abstractNumId w:val="5"/>
  </w:num>
  <w:num w:numId="10" w16cid:durableId="1136677222">
    <w:abstractNumId w:val="13"/>
  </w:num>
  <w:num w:numId="11" w16cid:durableId="455102863">
    <w:abstractNumId w:val="0"/>
  </w:num>
  <w:num w:numId="12" w16cid:durableId="306790471">
    <w:abstractNumId w:val="10"/>
  </w:num>
  <w:num w:numId="13" w16cid:durableId="2109695876">
    <w:abstractNumId w:val="3"/>
  </w:num>
  <w:num w:numId="14" w16cid:durableId="1848707904">
    <w:abstractNumId w:val="7"/>
  </w:num>
  <w:num w:numId="15" w16cid:durableId="156336434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C7ED4"/>
    <w:rsid w:val="00203B9D"/>
    <w:rsid w:val="00221105"/>
    <w:rsid w:val="002927EF"/>
    <w:rsid w:val="002B6DE5"/>
    <w:rsid w:val="003172A9"/>
    <w:rsid w:val="00335B4D"/>
    <w:rsid w:val="00353A95"/>
    <w:rsid w:val="003658E9"/>
    <w:rsid w:val="00374845"/>
    <w:rsid w:val="00385DC7"/>
    <w:rsid w:val="003C03C9"/>
    <w:rsid w:val="003C1614"/>
    <w:rsid w:val="003C448F"/>
    <w:rsid w:val="00405BB4"/>
    <w:rsid w:val="0041529E"/>
    <w:rsid w:val="004D3818"/>
    <w:rsid w:val="004E1A10"/>
    <w:rsid w:val="004F5DA1"/>
    <w:rsid w:val="00523950"/>
    <w:rsid w:val="00570C76"/>
    <w:rsid w:val="00575C2D"/>
    <w:rsid w:val="005C38CC"/>
    <w:rsid w:val="006165EF"/>
    <w:rsid w:val="00640670"/>
    <w:rsid w:val="0065460A"/>
    <w:rsid w:val="00655BF2"/>
    <w:rsid w:val="00665BCF"/>
    <w:rsid w:val="006C3AAB"/>
    <w:rsid w:val="006E4132"/>
    <w:rsid w:val="006F34E5"/>
    <w:rsid w:val="007061DB"/>
    <w:rsid w:val="007205BB"/>
    <w:rsid w:val="00725171"/>
    <w:rsid w:val="007351FE"/>
    <w:rsid w:val="007B29DB"/>
    <w:rsid w:val="007C041C"/>
    <w:rsid w:val="007C1F59"/>
    <w:rsid w:val="007C264E"/>
    <w:rsid w:val="007D7136"/>
    <w:rsid w:val="007F0229"/>
    <w:rsid w:val="00805313"/>
    <w:rsid w:val="0081330F"/>
    <w:rsid w:val="00825B55"/>
    <w:rsid w:val="00883AB1"/>
    <w:rsid w:val="00905320"/>
    <w:rsid w:val="00920C73"/>
    <w:rsid w:val="00A07E73"/>
    <w:rsid w:val="00A22D81"/>
    <w:rsid w:val="00A2478C"/>
    <w:rsid w:val="00A63818"/>
    <w:rsid w:val="00AC1FAE"/>
    <w:rsid w:val="00B53EC2"/>
    <w:rsid w:val="00B7254A"/>
    <w:rsid w:val="00B75423"/>
    <w:rsid w:val="00B96989"/>
    <w:rsid w:val="00BA52E2"/>
    <w:rsid w:val="00BD4C8D"/>
    <w:rsid w:val="00BE7874"/>
    <w:rsid w:val="00C97C21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2022-05-27T12:25:00Z</cp:lastPrinted>
  <dcterms:created xsi:type="dcterms:W3CDTF">2022-12-27T14:27:00Z</dcterms:created>
  <dcterms:modified xsi:type="dcterms:W3CDTF">2022-12-27T14:27:00Z</dcterms:modified>
</cp:coreProperties>
</file>