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5A6C08" w14:paraId="5442D80C" w14:textId="77777777" w:rsidTr="005A6C08">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1BA84FF" w14:textId="77777777" w:rsidR="005A6C08" w:rsidRDefault="005A6C08" w:rsidP="00F4700C">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B8CEC0C" w14:textId="77777777" w:rsidR="005A6C08" w:rsidRPr="003B2F88" w:rsidRDefault="005A6C08" w:rsidP="00F4700C">
            <w:pPr>
              <w:pStyle w:val="TableContents"/>
              <w:jc w:val="right"/>
              <w:rPr>
                <w:b/>
                <w:szCs w:val="22"/>
                <w:shd w:val="clear" w:color="auto" w:fill="FFFFFF" w:themeFill="background1"/>
              </w:rPr>
            </w:pPr>
            <w:r>
              <w:rPr>
                <w:b/>
                <w:szCs w:val="22"/>
                <w:shd w:val="clear" w:color="auto" w:fill="FFFFFF" w:themeFill="background1"/>
              </w:rPr>
              <w:t>Hygieneorganisation Arztp</w:t>
            </w:r>
            <w:r w:rsidRPr="003B2F88">
              <w:rPr>
                <w:b/>
                <w:szCs w:val="22"/>
                <w:shd w:val="clear" w:color="auto" w:fill="FFFFFF" w:themeFill="background1"/>
              </w:rPr>
              <w:t xml:space="preserve">raxen </w:t>
            </w:r>
          </w:p>
          <w:p w14:paraId="18487828" w14:textId="77777777" w:rsidR="005A6C08" w:rsidRPr="003B2F88" w:rsidRDefault="005A6C08" w:rsidP="00F4700C">
            <w:pPr>
              <w:pStyle w:val="TableContents"/>
              <w:jc w:val="right"/>
              <w:rPr>
                <w:b/>
                <w:szCs w:val="22"/>
                <w:shd w:val="clear" w:color="auto" w:fill="FFFFFF" w:themeFill="background1"/>
              </w:rPr>
            </w:pPr>
          </w:p>
          <w:p w14:paraId="2F366163" w14:textId="77777777" w:rsidR="005A6C08" w:rsidRPr="003B2F88" w:rsidRDefault="005A6C08" w:rsidP="00F4700C">
            <w:pPr>
              <w:pStyle w:val="TableContents"/>
              <w:jc w:val="right"/>
              <w:rPr>
                <w:b/>
                <w:color w:val="FFFF00"/>
                <w:szCs w:val="22"/>
                <w:shd w:val="clear" w:color="auto" w:fill="FF0000"/>
              </w:rPr>
            </w:pPr>
            <w:r w:rsidRPr="003B2F88">
              <w:rPr>
                <w:b/>
                <w:szCs w:val="22"/>
                <w:shd w:val="clear" w:color="auto" w:fill="FFFFFF" w:themeFill="background1"/>
              </w:rPr>
              <w:t xml:space="preserve">Ordner 1 Register </w:t>
            </w:r>
            <w:r>
              <w:rPr>
                <w:b/>
                <w:szCs w:val="22"/>
                <w:shd w:val="clear" w:color="auto" w:fill="FFFFFF" w:themeFill="background1"/>
              </w:rPr>
              <w:t>6</w:t>
            </w:r>
          </w:p>
        </w:tc>
      </w:tr>
      <w:tr w:rsidR="005A6C08" w14:paraId="7CF57BAA" w14:textId="77777777" w:rsidTr="005A6C08">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3673055" w14:textId="77777777" w:rsidR="005A6C08" w:rsidRDefault="005A6C08"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48B5FCE7" w14:textId="77777777" w:rsidR="005A6C08" w:rsidRDefault="005A6C08" w:rsidP="00F4700C">
            <w:pPr>
              <w:pStyle w:val="TableContents"/>
              <w:jc w:val="center"/>
              <w:rPr>
                <w:szCs w:val="22"/>
              </w:rPr>
            </w:pPr>
            <w:r>
              <w:rPr>
                <w:szCs w:val="22"/>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8B40376" w14:textId="77777777" w:rsidR="005A6C08" w:rsidRDefault="005A6C08" w:rsidP="00F4700C">
            <w:pPr>
              <w:pStyle w:val="TableContents"/>
              <w:jc w:val="center"/>
              <w:rPr>
                <w:szCs w:val="22"/>
              </w:rPr>
            </w:pPr>
          </w:p>
        </w:tc>
      </w:tr>
      <w:tr w:rsidR="005A6C08" w14:paraId="48559DA7" w14:textId="77777777" w:rsidTr="005A6C08">
        <w:trPr>
          <w:trHeight w:val="283"/>
        </w:trPr>
        <w:tc>
          <w:tcPr>
            <w:tcW w:w="9069" w:type="dxa"/>
            <w:gridSpan w:val="3"/>
            <w:tcBorders>
              <w:bottom w:val="single" w:sz="2" w:space="0" w:color="000000"/>
            </w:tcBorders>
            <w:tcMar>
              <w:top w:w="55" w:type="dxa"/>
              <w:left w:w="55" w:type="dxa"/>
              <w:bottom w:w="55" w:type="dxa"/>
              <w:right w:w="55" w:type="dxa"/>
            </w:tcMar>
          </w:tcPr>
          <w:p w14:paraId="709612A1" w14:textId="77777777" w:rsidR="005A6C08" w:rsidRPr="003B2F88" w:rsidRDefault="005A6C08" w:rsidP="00F4700C">
            <w:pPr>
              <w:pStyle w:val="TableContents"/>
              <w:rPr>
                <w:sz w:val="16"/>
                <w:szCs w:val="16"/>
              </w:rPr>
            </w:pPr>
          </w:p>
        </w:tc>
      </w:tr>
      <w:tr w:rsidR="005A6C08" w14:paraId="3B5225BE" w14:textId="77777777" w:rsidTr="005A6C08">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178DF08E" w14:textId="77777777" w:rsidR="005A6C08" w:rsidRPr="001A79EB" w:rsidRDefault="005A6C08" w:rsidP="00F4700C">
            <w:pPr>
              <w:jc w:val="both"/>
              <w:rPr>
                <w:sz w:val="22"/>
                <w:szCs w:val="22"/>
              </w:rPr>
            </w:pPr>
            <w:r>
              <w:rPr>
                <w:sz w:val="22"/>
                <w:szCs w:val="22"/>
              </w:rPr>
              <w:t>Bekleidung und persönliche Schutzausstattung (PSA)</w:t>
            </w:r>
          </w:p>
        </w:tc>
      </w:tr>
    </w:tbl>
    <w:p w14:paraId="597EBFAA" w14:textId="77777777" w:rsidR="005A6C08" w:rsidRDefault="005A6C08" w:rsidP="005A6C08">
      <w:pPr>
        <w:rPr>
          <w:sz w:val="22"/>
          <w:szCs w:val="22"/>
        </w:rPr>
      </w:pPr>
    </w:p>
    <w:p w14:paraId="6E8BCE32" w14:textId="77777777" w:rsidR="005A6C08" w:rsidRPr="005C3073" w:rsidRDefault="005A6C08" w:rsidP="005A6C08">
      <w:pPr>
        <w:jc w:val="both"/>
        <w:rPr>
          <w:sz w:val="22"/>
          <w:szCs w:val="22"/>
        </w:rPr>
      </w:pPr>
      <w:r w:rsidRPr="005C3073">
        <w:rPr>
          <w:sz w:val="22"/>
          <w:szCs w:val="22"/>
        </w:rPr>
        <w:t xml:space="preserve">In der Praxis wird die Bekleidung so gewählt, dass sie den Risiken und Hygieneanforderungen in der jeweiligen spezifischen Arbeitssituation angepasst ist.  </w:t>
      </w:r>
    </w:p>
    <w:p w14:paraId="31212BA3" w14:textId="3629F0D8" w:rsidR="005A6C08" w:rsidRPr="005C3073" w:rsidRDefault="005A6C08" w:rsidP="005A6C08">
      <w:pPr>
        <w:jc w:val="both"/>
        <w:rPr>
          <w:sz w:val="22"/>
          <w:szCs w:val="22"/>
        </w:rPr>
      </w:pPr>
      <w:r w:rsidRPr="005C3073">
        <w:rPr>
          <w:sz w:val="22"/>
          <w:szCs w:val="22"/>
        </w:rPr>
        <w:t xml:space="preserve"> </w:t>
      </w:r>
    </w:p>
    <w:p w14:paraId="6093E454" w14:textId="3F937DEF" w:rsidR="005A6C08" w:rsidRPr="005C3073" w:rsidRDefault="005A6C08" w:rsidP="005A6C08">
      <w:pPr>
        <w:jc w:val="both"/>
        <w:rPr>
          <w:b/>
          <w:sz w:val="22"/>
          <w:szCs w:val="22"/>
        </w:rPr>
      </w:pPr>
      <w:r w:rsidRPr="005C3073">
        <w:rPr>
          <w:b/>
          <w:sz w:val="22"/>
          <w:szCs w:val="22"/>
        </w:rPr>
        <w:t>Arbeitskleidung und -</w:t>
      </w:r>
      <w:r w:rsidR="00B15CFE">
        <w:rPr>
          <w:b/>
          <w:sz w:val="22"/>
          <w:szCs w:val="22"/>
        </w:rPr>
        <w:t>S</w:t>
      </w:r>
      <w:r w:rsidRPr="005C3073">
        <w:rPr>
          <w:b/>
          <w:sz w:val="22"/>
          <w:szCs w:val="22"/>
        </w:rPr>
        <w:t xml:space="preserve">chuhe </w:t>
      </w:r>
    </w:p>
    <w:p w14:paraId="24AB5BBC" w14:textId="77777777" w:rsidR="005A6C08" w:rsidRPr="005C3073" w:rsidRDefault="005A6C08" w:rsidP="005A6C08">
      <w:pPr>
        <w:jc w:val="both"/>
        <w:rPr>
          <w:sz w:val="22"/>
          <w:szCs w:val="22"/>
        </w:rPr>
      </w:pPr>
      <w:r w:rsidRPr="005C3073">
        <w:rPr>
          <w:sz w:val="22"/>
          <w:szCs w:val="22"/>
        </w:rPr>
        <w:t xml:space="preserve"> </w:t>
      </w:r>
    </w:p>
    <w:p w14:paraId="3E7A7536" w14:textId="3EB127D6" w:rsidR="005A6C08" w:rsidRPr="005C3073" w:rsidRDefault="005A6C08" w:rsidP="005A6C08">
      <w:pPr>
        <w:jc w:val="both"/>
        <w:rPr>
          <w:sz w:val="22"/>
          <w:szCs w:val="22"/>
        </w:rPr>
      </w:pPr>
      <w:r w:rsidRPr="005C3073">
        <w:rPr>
          <w:sz w:val="22"/>
          <w:szCs w:val="22"/>
        </w:rPr>
        <w:t xml:space="preserve">Bei Dienstantritt wird die Privatkleidung ab- und die Arbeitskleidung angelegt. Die Privatkleidung wird getrennt von der Arbeitskleidung aufbewahrt.  </w:t>
      </w:r>
    </w:p>
    <w:p w14:paraId="7AEF68A3" w14:textId="77777777" w:rsidR="005A6C08" w:rsidRPr="005C3073" w:rsidRDefault="005A6C08" w:rsidP="005A6C08">
      <w:pPr>
        <w:jc w:val="both"/>
        <w:rPr>
          <w:sz w:val="22"/>
          <w:szCs w:val="22"/>
        </w:rPr>
      </w:pPr>
      <w:r w:rsidRPr="005C3073">
        <w:rPr>
          <w:sz w:val="22"/>
          <w:szCs w:val="22"/>
        </w:rPr>
        <w:t xml:space="preserve"> </w:t>
      </w:r>
    </w:p>
    <w:p w14:paraId="4D8E351E" w14:textId="449C6426" w:rsidR="005A6C08" w:rsidRPr="005C3073" w:rsidRDefault="005A6C08" w:rsidP="005A6C08">
      <w:pPr>
        <w:jc w:val="both"/>
        <w:rPr>
          <w:b/>
          <w:sz w:val="22"/>
          <w:szCs w:val="22"/>
        </w:rPr>
      </w:pPr>
      <w:r w:rsidRPr="005C3073">
        <w:rPr>
          <w:b/>
          <w:sz w:val="22"/>
          <w:szCs w:val="22"/>
        </w:rPr>
        <w:t>Bereichskleidung und -</w:t>
      </w:r>
      <w:r w:rsidR="00B15CFE">
        <w:rPr>
          <w:b/>
          <w:sz w:val="22"/>
          <w:szCs w:val="22"/>
        </w:rPr>
        <w:t>S</w:t>
      </w:r>
      <w:r w:rsidRPr="005C3073">
        <w:rPr>
          <w:b/>
          <w:sz w:val="22"/>
          <w:szCs w:val="22"/>
        </w:rPr>
        <w:t xml:space="preserve">chuhe </w:t>
      </w:r>
    </w:p>
    <w:p w14:paraId="63989C22" w14:textId="77777777" w:rsidR="005A6C08" w:rsidRPr="005C3073" w:rsidRDefault="005A6C08" w:rsidP="005A6C08">
      <w:pPr>
        <w:jc w:val="both"/>
        <w:rPr>
          <w:sz w:val="22"/>
          <w:szCs w:val="22"/>
        </w:rPr>
      </w:pPr>
      <w:r w:rsidRPr="005C3073">
        <w:rPr>
          <w:sz w:val="22"/>
          <w:szCs w:val="22"/>
        </w:rPr>
        <w:t xml:space="preserve"> </w:t>
      </w:r>
    </w:p>
    <w:p w14:paraId="70AAB531" w14:textId="65443ED8" w:rsidR="005A6C08" w:rsidRPr="005C3073" w:rsidRDefault="005A6C08" w:rsidP="005A6C08">
      <w:pPr>
        <w:jc w:val="both"/>
        <w:rPr>
          <w:sz w:val="22"/>
          <w:szCs w:val="22"/>
        </w:rPr>
      </w:pPr>
      <w:r w:rsidRPr="005C3073">
        <w:rPr>
          <w:sz w:val="22"/>
          <w:szCs w:val="22"/>
        </w:rPr>
        <w:t>Zum Schutz vor Keimverschleppung werden im OP-Bereich und im Eingriffsraum</w:t>
      </w:r>
      <w:r>
        <w:rPr>
          <w:sz w:val="22"/>
          <w:szCs w:val="22"/>
        </w:rPr>
        <w:t>,</w:t>
      </w:r>
      <w:r w:rsidRPr="005C3073">
        <w:rPr>
          <w:sz w:val="22"/>
          <w:szCs w:val="22"/>
        </w:rPr>
        <w:t xml:space="preserve">  Bereichskleidung und -schuhe getragen. Die Bereichskleidung ist farblich gekennzeichnet und unterscheidet sich von der Arbeitskleidung. Beim Verlassen des entsprechenden Bereiches wird die Bereichskleidung abgelegt. </w:t>
      </w:r>
    </w:p>
    <w:p w14:paraId="7C94EADA" w14:textId="40A3C187" w:rsidR="005A6C08" w:rsidRPr="005C3073" w:rsidRDefault="005A6C08" w:rsidP="005A6C08">
      <w:pPr>
        <w:jc w:val="both"/>
        <w:rPr>
          <w:sz w:val="22"/>
          <w:szCs w:val="22"/>
        </w:rPr>
      </w:pPr>
      <w:r w:rsidRPr="005C3073">
        <w:rPr>
          <w:sz w:val="22"/>
          <w:szCs w:val="22"/>
        </w:rPr>
        <w:t xml:space="preserve"> </w:t>
      </w:r>
    </w:p>
    <w:p w14:paraId="7802A8AD" w14:textId="77777777" w:rsidR="005A6C08" w:rsidRPr="005C3073" w:rsidRDefault="005A6C08" w:rsidP="005A6C08">
      <w:pPr>
        <w:jc w:val="both"/>
        <w:rPr>
          <w:b/>
          <w:sz w:val="22"/>
          <w:szCs w:val="22"/>
        </w:rPr>
      </w:pPr>
      <w:r w:rsidRPr="005C3073">
        <w:rPr>
          <w:b/>
          <w:sz w:val="22"/>
          <w:szCs w:val="22"/>
        </w:rPr>
        <w:t>Persönliche Schutzausrüstung (PSA)</w:t>
      </w:r>
    </w:p>
    <w:p w14:paraId="190DDBE0" w14:textId="77777777" w:rsidR="005A6C08" w:rsidRPr="005C3073" w:rsidRDefault="005A6C08" w:rsidP="005A6C08">
      <w:pPr>
        <w:jc w:val="both"/>
        <w:rPr>
          <w:sz w:val="22"/>
          <w:szCs w:val="22"/>
        </w:rPr>
      </w:pPr>
      <w:r w:rsidRPr="005C3073">
        <w:rPr>
          <w:sz w:val="22"/>
          <w:szCs w:val="22"/>
        </w:rPr>
        <w:t xml:space="preserve"> </w:t>
      </w:r>
    </w:p>
    <w:p w14:paraId="43B8F0EC" w14:textId="77777777" w:rsidR="005A6C08" w:rsidRDefault="005A6C08" w:rsidP="005A6C08">
      <w:pPr>
        <w:jc w:val="both"/>
        <w:rPr>
          <w:sz w:val="22"/>
          <w:szCs w:val="22"/>
        </w:rPr>
      </w:pPr>
      <w:r w:rsidRPr="005C3073">
        <w:rPr>
          <w:sz w:val="22"/>
          <w:szCs w:val="22"/>
        </w:rPr>
        <w:t xml:space="preserve">Durch Verwendung von persönlicher Schutzausrüstung als mechanische Barriere werden Bekleidung, Haut oder Schleimhaut vor direktem Kontakt mit Chemikalien oder Körperflüssigkeiten geschützt. Je nach durchzuführender Tätigkeit werden folgende Schutzausrüstungen getragen: </w:t>
      </w:r>
    </w:p>
    <w:p w14:paraId="28FF71B1" w14:textId="77777777" w:rsidR="005A6C08" w:rsidRDefault="005A6C08" w:rsidP="005A6C08">
      <w:pPr>
        <w:jc w:val="both"/>
        <w:rPr>
          <w:sz w:val="22"/>
          <w:szCs w:val="22"/>
        </w:rPr>
      </w:pPr>
    </w:p>
    <w:p w14:paraId="6AB9529D" w14:textId="77777777" w:rsidR="005A6C08" w:rsidRPr="005C3073" w:rsidRDefault="005A6C08" w:rsidP="005A6C08">
      <w:pPr>
        <w:pStyle w:val="Listenabsatz"/>
        <w:numPr>
          <w:ilvl w:val="0"/>
          <w:numId w:val="12"/>
        </w:numPr>
        <w:jc w:val="both"/>
        <w:rPr>
          <w:sz w:val="22"/>
          <w:szCs w:val="22"/>
        </w:rPr>
      </w:pPr>
      <w:r w:rsidRPr="005C3073">
        <w:rPr>
          <w:sz w:val="22"/>
          <w:szCs w:val="22"/>
        </w:rPr>
        <w:t xml:space="preserve">Schutzkittel, </w:t>
      </w:r>
    </w:p>
    <w:p w14:paraId="62A33D88" w14:textId="77777777" w:rsidR="005A6C08" w:rsidRPr="005C3073" w:rsidRDefault="005A6C08" w:rsidP="005A6C08">
      <w:pPr>
        <w:pStyle w:val="Listenabsatz"/>
        <w:numPr>
          <w:ilvl w:val="0"/>
          <w:numId w:val="12"/>
        </w:numPr>
        <w:jc w:val="both"/>
        <w:rPr>
          <w:sz w:val="22"/>
          <w:szCs w:val="22"/>
        </w:rPr>
      </w:pPr>
      <w:r w:rsidRPr="005C3073">
        <w:rPr>
          <w:sz w:val="22"/>
          <w:szCs w:val="22"/>
        </w:rPr>
        <w:t xml:space="preserve">Handschuhe, </w:t>
      </w:r>
    </w:p>
    <w:p w14:paraId="2B7C64D9" w14:textId="77777777" w:rsidR="005A6C08" w:rsidRPr="005C3073" w:rsidRDefault="005A6C08" w:rsidP="005A6C08">
      <w:pPr>
        <w:pStyle w:val="Listenabsatz"/>
        <w:numPr>
          <w:ilvl w:val="0"/>
          <w:numId w:val="12"/>
        </w:numPr>
        <w:jc w:val="both"/>
        <w:rPr>
          <w:sz w:val="22"/>
          <w:szCs w:val="22"/>
        </w:rPr>
      </w:pPr>
      <w:r w:rsidRPr="005C3073">
        <w:rPr>
          <w:sz w:val="22"/>
          <w:szCs w:val="22"/>
        </w:rPr>
        <w:t xml:space="preserve">Augen-/Gesichtsschutz, </w:t>
      </w:r>
    </w:p>
    <w:p w14:paraId="5E359586" w14:textId="77777777" w:rsidR="005A6C08" w:rsidRPr="005C3073" w:rsidRDefault="005A6C08" w:rsidP="005A6C08">
      <w:pPr>
        <w:pStyle w:val="Listenabsatz"/>
        <w:numPr>
          <w:ilvl w:val="0"/>
          <w:numId w:val="12"/>
        </w:numPr>
        <w:jc w:val="both"/>
        <w:rPr>
          <w:sz w:val="22"/>
          <w:szCs w:val="22"/>
        </w:rPr>
      </w:pPr>
      <w:r w:rsidRPr="005C3073">
        <w:rPr>
          <w:sz w:val="22"/>
          <w:szCs w:val="22"/>
        </w:rPr>
        <w:t>Mund/Nasen-Schutz oder,</w:t>
      </w:r>
    </w:p>
    <w:p w14:paraId="48B61477" w14:textId="77777777" w:rsidR="005A6C08" w:rsidRPr="005C3073" w:rsidRDefault="005A6C08" w:rsidP="005A6C08">
      <w:pPr>
        <w:pStyle w:val="Listenabsatz"/>
        <w:numPr>
          <w:ilvl w:val="0"/>
          <w:numId w:val="12"/>
        </w:numPr>
        <w:jc w:val="both"/>
        <w:rPr>
          <w:sz w:val="22"/>
          <w:szCs w:val="22"/>
        </w:rPr>
      </w:pPr>
      <w:r w:rsidRPr="005C3073">
        <w:rPr>
          <w:sz w:val="22"/>
          <w:szCs w:val="22"/>
        </w:rPr>
        <w:t xml:space="preserve">Atemschutzmaske. </w:t>
      </w:r>
    </w:p>
    <w:p w14:paraId="0C3BEA75" w14:textId="77777777" w:rsidR="005A6C08" w:rsidRPr="005C3073" w:rsidRDefault="005A6C08" w:rsidP="005A6C08">
      <w:pPr>
        <w:jc w:val="both"/>
        <w:rPr>
          <w:sz w:val="22"/>
          <w:szCs w:val="22"/>
        </w:rPr>
      </w:pPr>
      <w:r>
        <w:rPr>
          <w:sz w:val="22"/>
          <w:szCs w:val="22"/>
        </w:rPr>
        <w:t xml:space="preserve"> </w:t>
      </w:r>
    </w:p>
    <w:p w14:paraId="719E3A15" w14:textId="77777777" w:rsidR="005A6C08" w:rsidRPr="005C3073" w:rsidRDefault="005A6C08" w:rsidP="005A6C08">
      <w:pPr>
        <w:jc w:val="both"/>
        <w:rPr>
          <w:b/>
          <w:sz w:val="22"/>
          <w:szCs w:val="22"/>
        </w:rPr>
      </w:pPr>
      <w:r w:rsidRPr="005C3073">
        <w:rPr>
          <w:b/>
          <w:sz w:val="22"/>
          <w:szCs w:val="22"/>
        </w:rPr>
        <w:t xml:space="preserve">Schutzkittel   </w:t>
      </w:r>
    </w:p>
    <w:p w14:paraId="5E271E94" w14:textId="77777777" w:rsidR="005A6C08" w:rsidRPr="005C3073" w:rsidRDefault="005A6C08" w:rsidP="005A6C08">
      <w:pPr>
        <w:jc w:val="both"/>
        <w:rPr>
          <w:sz w:val="22"/>
          <w:szCs w:val="22"/>
        </w:rPr>
      </w:pPr>
      <w:r w:rsidRPr="005C3073">
        <w:rPr>
          <w:sz w:val="22"/>
          <w:szCs w:val="22"/>
        </w:rPr>
        <w:t xml:space="preserve"> </w:t>
      </w:r>
    </w:p>
    <w:p w14:paraId="1DCD03C9" w14:textId="77777777" w:rsidR="005A6C08" w:rsidRDefault="005A6C08" w:rsidP="005A6C08">
      <w:pPr>
        <w:jc w:val="both"/>
        <w:rPr>
          <w:sz w:val="22"/>
          <w:szCs w:val="22"/>
        </w:rPr>
      </w:pPr>
      <w:r w:rsidRPr="005C3073">
        <w:rPr>
          <w:sz w:val="22"/>
          <w:szCs w:val="22"/>
        </w:rPr>
        <w:t xml:space="preserve">Warum: </w:t>
      </w:r>
    </w:p>
    <w:p w14:paraId="5D16FEB3" w14:textId="77777777" w:rsidR="005A6C08" w:rsidRDefault="005A6C08" w:rsidP="005A6C08">
      <w:pPr>
        <w:jc w:val="both"/>
        <w:rPr>
          <w:sz w:val="22"/>
          <w:szCs w:val="22"/>
        </w:rPr>
      </w:pPr>
    </w:p>
    <w:p w14:paraId="5635FA35" w14:textId="77777777" w:rsidR="005A6C08" w:rsidRPr="005C3073" w:rsidRDefault="005A6C08" w:rsidP="005A6C08">
      <w:pPr>
        <w:jc w:val="both"/>
        <w:rPr>
          <w:sz w:val="22"/>
          <w:szCs w:val="22"/>
        </w:rPr>
      </w:pPr>
      <w:r w:rsidRPr="005C3073">
        <w:rPr>
          <w:sz w:val="22"/>
          <w:szCs w:val="22"/>
        </w:rPr>
        <w:t xml:space="preserve">Das zusätzliche Tragen von Schutzkleidung in Form von Schutzkitteln oder Schürzen verhindert eine Erregerübertragung auf bzw. durch Arbeits- und Bereichskleidung.  </w:t>
      </w:r>
    </w:p>
    <w:p w14:paraId="6FCCB3A5" w14:textId="77777777" w:rsidR="005A6C08" w:rsidRPr="005C3073" w:rsidRDefault="005A6C08" w:rsidP="005A6C08">
      <w:pPr>
        <w:jc w:val="both"/>
        <w:rPr>
          <w:sz w:val="22"/>
          <w:szCs w:val="22"/>
        </w:rPr>
      </w:pPr>
      <w:r w:rsidRPr="005C3073">
        <w:rPr>
          <w:sz w:val="22"/>
          <w:szCs w:val="22"/>
        </w:rPr>
        <w:t xml:space="preserve"> </w:t>
      </w:r>
    </w:p>
    <w:p w14:paraId="1B14AC77" w14:textId="77777777" w:rsidR="005A6C08" w:rsidRDefault="005A6C08" w:rsidP="005A6C08">
      <w:pPr>
        <w:jc w:val="both"/>
        <w:rPr>
          <w:sz w:val="22"/>
          <w:szCs w:val="22"/>
        </w:rPr>
      </w:pPr>
      <w:r w:rsidRPr="005C3073">
        <w:rPr>
          <w:sz w:val="22"/>
          <w:szCs w:val="22"/>
        </w:rPr>
        <w:t xml:space="preserve">Wann: </w:t>
      </w:r>
    </w:p>
    <w:p w14:paraId="03291DE3" w14:textId="77777777" w:rsidR="005A6C08" w:rsidRDefault="005A6C08" w:rsidP="005A6C08">
      <w:pPr>
        <w:jc w:val="both"/>
        <w:rPr>
          <w:sz w:val="22"/>
          <w:szCs w:val="22"/>
        </w:rPr>
      </w:pPr>
    </w:p>
    <w:p w14:paraId="5B6C39F9" w14:textId="77777777" w:rsidR="005A6C08" w:rsidRDefault="005A6C08" w:rsidP="005A6C08">
      <w:pPr>
        <w:jc w:val="both"/>
        <w:rPr>
          <w:sz w:val="22"/>
          <w:szCs w:val="22"/>
        </w:rPr>
      </w:pPr>
      <w:r w:rsidRPr="005C3073">
        <w:rPr>
          <w:sz w:val="22"/>
          <w:szCs w:val="22"/>
        </w:rPr>
        <w:t>Je nach durchzuführender Tätigkeit ist ein Schutzkittel in folgenden Situati</w:t>
      </w:r>
      <w:r>
        <w:rPr>
          <w:sz w:val="22"/>
          <w:szCs w:val="22"/>
        </w:rPr>
        <w:t xml:space="preserve">onen zu tragen:  </w:t>
      </w:r>
    </w:p>
    <w:p w14:paraId="61F8DB40" w14:textId="77777777" w:rsidR="005A6C08" w:rsidRDefault="005A6C08" w:rsidP="005A6C08">
      <w:pPr>
        <w:jc w:val="both"/>
        <w:rPr>
          <w:sz w:val="22"/>
          <w:szCs w:val="22"/>
        </w:rPr>
      </w:pPr>
    </w:p>
    <w:p w14:paraId="23001645" w14:textId="77777777" w:rsidR="005A6C08" w:rsidRDefault="005A6C08" w:rsidP="005A6C08">
      <w:pPr>
        <w:pStyle w:val="Listenabsatz"/>
        <w:numPr>
          <w:ilvl w:val="0"/>
          <w:numId w:val="13"/>
        </w:numPr>
        <w:jc w:val="both"/>
        <w:rPr>
          <w:sz w:val="22"/>
          <w:szCs w:val="22"/>
        </w:rPr>
      </w:pPr>
      <w:r w:rsidRPr="005C3073">
        <w:rPr>
          <w:sz w:val="22"/>
          <w:szCs w:val="22"/>
        </w:rPr>
        <w:t>Gefahr des Verspritzens von Körperf</w:t>
      </w:r>
      <w:r>
        <w:rPr>
          <w:sz w:val="22"/>
          <w:szCs w:val="22"/>
        </w:rPr>
        <w:t xml:space="preserve">lüssigkeiten oder Chemikalien </w:t>
      </w:r>
    </w:p>
    <w:p w14:paraId="55631DBF" w14:textId="77777777" w:rsidR="005A6C08" w:rsidRDefault="005A6C08" w:rsidP="005A6C08">
      <w:pPr>
        <w:pStyle w:val="Listenabsatz"/>
        <w:numPr>
          <w:ilvl w:val="0"/>
          <w:numId w:val="13"/>
        </w:numPr>
        <w:jc w:val="both"/>
        <w:rPr>
          <w:sz w:val="22"/>
          <w:szCs w:val="22"/>
        </w:rPr>
      </w:pPr>
      <w:r w:rsidRPr="005C3073">
        <w:rPr>
          <w:sz w:val="22"/>
          <w:szCs w:val="22"/>
        </w:rPr>
        <w:t xml:space="preserve">erhöhte Gefahr durch vermehrte Abgabe von Erregern durch Patienten (z.B. bestimmte übertragbare Erkrankungen, multiresistente Erreger) </w:t>
      </w:r>
    </w:p>
    <w:p w14:paraId="56790991" w14:textId="77777777" w:rsidR="005A6C08" w:rsidRPr="005C3073" w:rsidRDefault="005A6C08" w:rsidP="005A6C08">
      <w:pPr>
        <w:pStyle w:val="Listenabsatz"/>
        <w:numPr>
          <w:ilvl w:val="0"/>
          <w:numId w:val="13"/>
        </w:numPr>
        <w:jc w:val="both"/>
        <w:rPr>
          <w:sz w:val="22"/>
          <w:szCs w:val="22"/>
        </w:rPr>
      </w:pPr>
      <w:r w:rsidRPr="005C3073">
        <w:rPr>
          <w:sz w:val="22"/>
          <w:szCs w:val="22"/>
        </w:rPr>
        <w:t xml:space="preserve">während größerer Eingriffe mit erhöhter Infektionsgefahr für den Patienten kommt ein steriler Schutzkittel zur Anwendung </w:t>
      </w:r>
    </w:p>
    <w:p w14:paraId="7C70F011" w14:textId="77777777" w:rsidR="005A6C08" w:rsidRPr="005C3073" w:rsidRDefault="005A6C08" w:rsidP="005A6C08">
      <w:pPr>
        <w:jc w:val="both"/>
        <w:rPr>
          <w:sz w:val="22"/>
          <w:szCs w:val="22"/>
        </w:rPr>
      </w:pPr>
      <w:r w:rsidRPr="005C3073">
        <w:rPr>
          <w:sz w:val="22"/>
          <w:szCs w:val="22"/>
        </w:rPr>
        <w:t xml:space="preserve"> </w:t>
      </w:r>
    </w:p>
    <w:p w14:paraId="13B6A7B3" w14:textId="77777777" w:rsidR="005A6C08" w:rsidRDefault="005A6C08" w:rsidP="005A6C08">
      <w:pPr>
        <w:jc w:val="both"/>
        <w:rPr>
          <w:sz w:val="22"/>
          <w:szCs w:val="22"/>
        </w:rPr>
      </w:pPr>
      <w:r w:rsidRPr="005C3073">
        <w:rPr>
          <w:sz w:val="22"/>
          <w:szCs w:val="22"/>
        </w:rPr>
        <w:t xml:space="preserve">Wie:  </w:t>
      </w:r>
    </w:p>
    <w:p w14:paraId="614C4AAD" w14:textId="77777777" w:rsidR="005A6C08" w:rsidRDefault="005A6C08" w:rsidP="005A6C08">
      <w:pPr>
        <w:jc w:val="both"/>
        <w:rPr>
          <w:sz w:val="22"/>
          <w:szCs w:val="22"/>
        </w:rPr>
      </w:pPr>
    </w:p>
    <w:p w14:paraId="46D9C815" w14:textId="77777777" w:rsidR="005A6C08" w:rsidRPr="005C3073" w:rsidRDefault="005A6C08" w:rsidP="005A6C08">
      <w:pPr>
        <w:jc w:val="both"/>
        <w:rPr>
          <w:sz w:val="22"/>
          <w:szCs w:val="22"/>
        </w:rPr>
      </w:pPr>
      <w:r w:rsidRPr="005C3073">
        <w:rPr>
          <w:sz w:val="22"/>
          <w:szCs w:val="22"/>
        </w:rPr>
        <w:lastRenderedPageBreak/>
        <w:t xml:space="preserve">Entsprechend der jeweiligen Anforderung werden langärmlige, flüssigkeitsdichte oder sterile Schutzkittel verwendet. </w:t>
      </w:r>
    </w:p>
    <w:p w14:paraId="2BDDA36C" w14:textId="77777777" w:rsidR="005A6C08" w:rsidRPr="005C3073" w:rsidRDefault="005A6C08" w:rsidP="005A6C08">
      <w:pPr>
        <w:jc w:val="both"/>
        <w:rPr>
          <w:sz w:val="22"/>
          <w:szCs w:val="22"/>
        </w:rPr>
      </w:pPr>
    </w:p>
    <w:p w14:paraId="70D33F3F" w14:textId="77777777" w:rsidR="005A6C08" w:rsidRPr="005C3073" w:rsidRDefault="005A6C08" w:rsidP="005A6C08">
      <w:pPr>
        <w:jc w:val="both"/>
        <w:rPr>
          <w:b/>
          <w:sz w:val="22"/>
          <w:szCs w:val="22"/>
        </w:rPr>
      </w:pPr>
      <w:r w:rsidRPr="005C3073">
        <w:rPr>
          <w:b/>
          <w:sz w:val="22"/>
          <w:szCs w:val="22"/>
        </w:rPr>
        <w:t xml:space="preserve">Handschuhe  </w:t>
      </w:r>
    </w:p>
    <w:p w14:paraId="732E4BFE" w14:textId="77777777" w:rsidR="005A6C08" w:rsidRPr="005C3073" w:rsidRDefault="005A6C08" w:rsidP="005A6C08">
      <w:pPr>
        <w:jc w:val="both"/>
        <w:rPr>
          <w:sz w:val="22"/>
          <w:szCs w:val="22"/>
        </w:rPr>
      </w:pPr>
      <w:r w:rsidRPr="005C3073">
        <w:rPr>
          <w:sz w:val="22"/>
          <w:szCs w:val="22"/>
        </w:rPr>
        <w:t xml:space="preserve"> </w:t>
      </w:r>
    </w:p>
    <w:p w14:paraId="52265612" w14:textId="77777777" w:rsidR="005A6C08" w:rsidRPr="005C3073" w:rsidRDefault="005A6C08" w:rsidP="005A6C08">
      <w:pPr>
        <w:jc w:val="both"/>
        <w:rPr>
          <w:sz w:val="22"/>
          <w:szCs w:val="22"/>
        </w:rPr>
      </w:pPr>
      <w:r w:rsidRPr="005C3073">
        <w:rPr>
          <w:sz w:val="22"/>
          <w:szCs w:val="22"/>
        </w:rPr>
        <w:t xml:space="preserve">Bei Handschuhen wird zwischen medizinischen Einmalhandschuhen und chemikalienbeständige Schutzhandschuhen unterschieden (siehe „Handschuhplan“ im Reinigungs- und Desinfektionsplan).  </w:t>
      </w:r>
    </w:p>
    <w:p w14:paraId="23C0C1B0" w14:textId="77777777" w:rsidR="005A6C08" w:rsidRPr="005C3073" w:rsidRDefault="005A6C08" w:rsidP="005A6C08">
      <w:pPr>
        <w:jc w:val="both"/>
        <w:rPr>
          <w:sz w:val="22"/>
          <w:szCs w:val="22"/>
        </w:rPr>
      </w:pPr>
      <w:r w:rsidRPr="005C3073">
        <w:rPr>
          <w:sz w:val="22"/>
          <w:szCs w:val="22"/>
        </w:rPr>
        <w:t xml:space="preserve"> </w:t>
      </w:r>
    </w:p>
    <w:p w14:paraId="34D34BEA" w14:textId="77777777" w:rsidR="005A6C08" w:rsidRPr="005C3073" w:rsidRDefault="005A6C08" w:rsidP="005A6C08">
      <w:pPr>
        <w:jc w:val="both"/>
        <w:rPr>
          <w:sz w:val="22"/>
          <w:szCs w:val="22"/>
        </w:rPr>
      </w:pPr>
      <w:r w:rsidRPr="005C3073">
        <w:rPr>
          <w:sz w:val="22"/>
          <w:szCs w:val="22"/>
        </w:rPr>
        <w:t xml:space="preserve">Das Tragen unsteriler medizinischer Einmalhandschuhe verhindert bzw. minimiert eine Kontamination der Hände mit Erregern. Steht der Schutz vor hautschädlichen Substanzen im Vordergrund, werden chemikalienbeständige Schutzhandschuhe verwendet. Die Auswahl richtet sich nach dem eingesetzten Mittel und der Tragedauer.  </w:t>
      </w:r>
    </w:p>
    <w:p w14:paraId="291414B8" w14:textId="77777777" w:rsidR="005A6C08" w:rsidRPr="005C3073" w:rsidRDefault="005A6C08" w:rsidP="005A6C08">
      <w:pPr>
        <w:jc w:val="both"/>
        <w:rPr>
          <w:sz w:val="22"/>
          <w:szCs w:val="22"/>
        </w:rPr>
      </w:pPr>
      <w:r>
        <w:rPr>
          <w:sz w:val="22"/>
          <w:szCs w:val="22"/>
        </w:rPr>
        <w:t xml:space="preserve"> </w:t>
      </w:r>
    </w:p>
    <w:p w14:paraId="026B9FFA" w14:textId="77777777" w:rsidR="005A6C08" w:rsidRPr="005C3073" w:rsidRDefault="005A6C08" w:rsidP="005A6C08">
      <w:pPr>
        <w:jc w:val="both"/>
        <w:rPr>
          <w:b/>
          <w:sz w:val="22"/>
          <w:szCs w:val="22"/>
        </w:rPr>
      </w:pPr>
      <w:r w:rsidRPr="005C3073">
        <w:rPr>
          <w:b/>
          <w:sz w:val="22"/>
          <w:szCs w:val="22"/>
        </w:rPr>
        <w:t xml:space="preserve">Mund-Nasen-Schutz </w:t>
      </w:r>
    </w:p>
    <w:p w14:paraId="75E4F815" w14:textId="77777777" w:rsidR="005A6C08" w:rsidRPr="005C3073" w:rsidRDefault="005A6C08" w:rsidP="005A6C08">
      <w:pPr>
        <w:jc w:val="both"/>
        <w:rPr>
          <w:sz w:val="22"/>
          <w:szCs w:val="22"/>
        </w:rPr>
      </w:pPr>
      <w:r w:rsidRPr="005C3073">
        <w:rPr>
          <w:sz w:val="22"/>
          <w:szCs w:val="22"/>
        </w:rPr>
        <w:t xml:space="preserve"> </w:t>
      </w:r>
    </w:p>
    <w:p w14:paraId="6C0E3BA9" w14:textId="77777777" w:rsidR="005A6C08" w:rsidRDefault="005A6C08" w:rsidP="005A6C08">
      <w:pPr>
        <w:jc w:val="both"/>
        <w:rPr>
          <w:sz w:val="22"/>
          <w:szCs w:val="22"/>
        </w:rPr>
      </w:pPr>
      <w:r w:rsidRPr="005C3073">
        <w:rPr>
          <w:sz w:val="22"/>
          <w:szCs w:val="22"/>
        </w:rPr>
        <w:t>Das Tragen eines Mund-Nasen-Schutzes dient einerseits dem Kontaminationsschutz für die Nasen- und Mundschleimhaut, andererseits minimiert dieser die Abgabe von Erregern aus dem Nasen-Rachen-Raum des Trägers. In folgenden Situationen kann das Tragen eines Mund-N</w:t>
      </w:r>
      <w:r>
        <w:rPr>
          <w:sz w:val="22"/>
          <w:szCs w:val="22"/>
        </w:rPr>
        <w:t xml:space="preserve">asen-Schutzes notwendig sein: </w:t>
      </w:r>
    </w:p>
    <w:p w14:paraId="7913A0E0" w14:textId="77777777" w:rsidR="005A6C08" w:rsidRDefault="005A6C08" w:rsidP="005A6C08">
      <w:pPr>
        <w:jc w:val="both"/>
        <w:rPr>
          <w:sz w:val="22"/>
          <w:szCs w:val="22"/>
        </w:rPr>
      </w:pPr>
    </w:p>
    <w:p w14:paraId="010FB388" w14:textId="77777777" w:rsidR="005A6C08" w:rsidRDefault="005A6C08" w:rsidP="005A6C08">
      <w:pPr>
        <w:pStyle w:val="Listenabsatz"/>
        <w:numPr>
          <w:ilvl w:val="0"/>
          <w:numId w:val="14"/>
        </w:numPr>
        <w:jc w:val="both"/>
        <w:rPr>
          <w:sz w:val="22"/>
          <w:szCs w:val="22"/>
        </w:rPr>
      </w:pPr>
      <w:r w:rsidRPr="005C3073">
        <w:rPr>
          <w:sz w:val="22"/>
          <w:szCs w:val="22"/>
        </w:rPr>
        <w:t>Gefahr des Verspritzens von Körperf</w:t>
      </w:r>
      <w:r>
        <w:rPr>
          <w:sz w:val="22"/>
          <w:szCs w:val="22"/>
        </w:rPr>
        <w:t xml:space="preserve">lüssigkeiten oder Chemikalien </w:t>
      </w:r>
    </w:p>
    <w:p w14:paraId="52670926" w14:textId="77777777" w:rsidR="005A6C08" w:rsidRDefault="005A6C08" w:rsidP="005A6C08">
      <w:pPr>
        <w:pStyle w:val="Listenabsatz"/>
        <w:numPr>
          <w:ilvl w:val="0"/>
          <w:numId w:val="14"/>
        </w:numPr>
        <w:jc w:val="both"/>
        <w:rPr>
          <w:sz w:val="22"/>
          <w:szCs w:val="22"/>
        </w:rPr>
      </w:pPr>
      <w:r w:rsidRPr="005C3073">
        <w:rPr>
          <w:sz w:val="22"/>
          <w:szCs w:val="22"/>
        </w:rPr>
        <w:t>erhöhte Gefahr durch vermehrte Abgabe von Erregern durch Patienten (z.B. aerogen übertragbare Erkrankun</w:t>
      </w:r>
      <w:r>
        <w:rPr>
          <w:sz w:val="22"/>
          <w:szCs w:val="22"/>
        </w:rPr>
        <w:t xml:space="preserve">gen, multiresistente Erreger) </w:t>
      </w:r>
    </w:p>
    <w:p w14:paraId="55D6DF1B" w14:textId="77777777" w:rsidR="005A6C08" w:rsidRDefault="005A6C08" w:rsidP="005A6C08">
      <w:pPr>
        <w:pStyle w:val="Listenabsatz"/>
        <w:numPr>
          <w:ilvl w:val="0"/>
          <w:numId w:val="14"/>
        </w:numPr>
        <w:jc w:val="both"/>
        <w:rPr>
          <w:sz w:val="22"/>
          <w:szCs w:val="22"/>
        </w:rPr>
      </w:pPr>
      <w:r w:rsidRPr="005C3073">
        <w:rPr>
          <w:sz w:val="22"/>
          <w:szCs w:val="22"/>
        </w:rPr>
        <w:t>Schutz f</w:t>
      </w:r>
      <w:r>
        <w:rPr>
          <w:sz w:val="22"/>
          <w:szCs w:val="22"/>
        </w:rPr>
        <w:t xml:space="preserve">ür immungeschwächte Patienten </w:t>
      </w:r>
    </w:p>
    <w:p w14:paraId="2F39EE1E" w14:textId="77777777" w:rsidR="005A6C08" w:rsidRDefault="005A6C08" w:rsidP="005A6C08">
      <w:pPr>
        <w:pStyle w:val="Listenabsatz"/>
        <w:numPr>
          <w:ilvl w:val="0"/>
          <w:numId w:val="14"/>
        </w:numPr>
        <w:jc w:val="both"/>
        <w:rPr>
          <w:sz w:val="22"/>
          <w:szCs w:val="22"/>
        </w:rPr>
      </w:pPr>
      <w:r w:rsidRPr="005C3073">
        <w:rPr>
          <w:sz w:val="22"/>
          <w:szCs w:val="22"/>
        </w:rPr>
        <w:t xml:space="preserve">Schutz des Patienten oder des Sterilguts bei Eingriffen </w:t>
      </w:r>
      <w:r>
        <w:rPr>
          <w:sz w:val="22"/>
          <w:szCs w:val="22"/>
        </w:rPr>
        <w:t>(z.B. größere Wundversorgung)</w:t>
      </w:r>
    </w:p>
    <w:p w14:paraId="5C70D089" w14:textId="77777777" w:rsidR="005A6C08" w:rsidRPr="005C3073" w:rsidRDefault="005A6C08" w:rsidP="005A6C08">
      <w:pPr>
        <w:pStyle w:val="Listenabsatz"/>
        <w:numPr>
          <w:ilvl w:val="0"/>
          <w:numId w:val="14"/>
        </w:numPr>
        <w:jc w:val="both"/>
        <w:rPr>
          <w:sz w:val="22"/>
          <w:szCs w:val="22"/>
        </w:rPr>
      </w:pPr>
      <w:r w:rsidRPr="005C3073">
        <w:rPr>
          <w:sz w:val="22"/>
          <w:szCs w:val="22"/>
        </w:rPr>
        <w:t xml:space="preserve">Aufbereitung von Medizinprodukten </w:t>
      </w:r>
    </w:p>
    <w:p w14:paraId="6EFCF73A" w14:textId="77777777" w:rsidR="005A6C08" w:rsidRPr="005C3073" w:rsidRDefault="005A6C08" w:rsidP="005A6C08">
      <w:pPr>
        <w:jc w:val="both"/>
        <w:rPr>
          <w:sz w:val="22"/>
          <w:szCs w:val="22"/>
        </w:rPr>
      </w:pPr>
      <w:r>
        <w:rPr>
          <w:sz w:val="22"/>
          <w:szCs w:val="22"/>
        </w:rPr>
        <w:t xml:space="preserve"> </w:t>
      </w:r>
    </w:p>
    <w:p w14:paraId="79A555A4" w14:textId="77777777" w:rsidR="005A6C08" w:rsidRPr="005C3073" w:rsidRDefault="005A6C08" w:rsidP="005A6C08">
      <w:pPr>
        <w:jc w:val="both"/>
        <w:rPr>
          <w:b/>
          <w:sz w:val="22"/>
          <w:szCs w:val="22"/>
        </w:rPr>
      </w:pPr>
      <w:r w:rsidRPr="005C3073">
        <w:rPr>
          <w:b/>
          <w:sz w:val="22"/>
          <w:szCs w:val="22"/>
        </w:rPr>
        <w:t xml:space="preserve">Atemschutzmasken (FFP 2 und FFP 3) </w:t>
      </w:r>
    </w:p>
    <w:p w14:paraId="56D3723B" w14:textId="77777777" w:rsidR="005A6C08" w:rsidRPr="005C3073" w:rsidRDefault="005A6C08" w:rsidP="005A6C08">
      <w:pPr>
        <w:jc w:val="both"/>
        <w:rPr>
          <w:sz w:val="22"/>
          <w:szCs w:val="22"/>
        </w:rPr>
      </w:pPr>
      <w:r w:rsidRPr="005C3073">
        <w:rPr>
          <w:sz w:val="22"/>
          <w:szCs w:val="22"/>
        </w:rPr>
        <w:t xml:space="preserve"> </w:t>
      </w:r>
    </w:p>
    <w:p w14:paraId="08D232CE" w14:textId="77777777" w:rsidR="005A6C08" w:rsidRPr="005C3073" w:rsidRDefault="005A6C08" w:rsidP="005A6C08">
      <w:pPr>
        <w:jc w:val="both"/>
        <w:rPr>
          <w:sz w:val="22"/>
          <w:szCs w:val="22"/>
        </w:rPr>
      </w:pPr>
      <w:r w:rsidRPr="005C3073">
        <w:rPr>
          <w:sz w:val="22"/>
          <w:szCs w:val="22"/>
        </w:rPr>
        <w:t xml:space="preserve">Das Tragen einer Atemschutzmaske hat im Vergleich zum Mund-Nasen-Schutz eine erhöhte Schutzwirkung durch spezielle Filterung und eine bessere Passform. </w:t>
      </w:r>
    </w:p>
    <w:p w14:paraId="02F3B57F" w14:textId="77777777" w:rsidR="005A6C08" w:rsidRPr="005C3073" w:rsidRDefault="005A6C08" w:rsidP="005A6C08">
      <w:pPr>
        <w:jc w:val="both"/>
        <w:rPr>
          <w:sz w:val="22"/>
          <w:szCs w:val="22"/>
        </w:rPr>
      </w:pPr>
      <w:r w:rsidRPr="005C3073">
        <w:rPr>
          <w:sz w:val="22"/>
          <w:szCs w:val="22"/>
        </w:rPr>
        <w:t xml:space="preserve"> </w:t>
      </w:r>
    </w:p>
    <w:p w14:paraId="5A868680" w14:textId="77777777" w:rsidR="005A6C08" w:rsidRDefault="005A6C08" w:rsidP="005A6C08">
      <w:pPr>
        <w:jc w:val="both"/>
        <w:rPr>
          <w:sz w:val="22"/>
          <w:szCs w:val="22"/>
        </w:rPr>
      </w:pPr>
      <w:r w:rsidRPr="005C3073">
        <w:rPr>
          <w:sz w:val="22"/>
          <w:szCs w:val="22"/>
        </w:rPr>
        <w:t>In folgenden Situationen ist das Tragen</w:t>
      </w:r>
      <w:r>
        <w:rPr>
          <w:sz w:val="22"/>
          <w:szCs w:val="22"/>
        </w:rPr>
        <w:t xml:space="preserve"> einer FFP 2-Maske notwendig: </w:t>
      </w:r>
    </w:p>
    <w:p w14:paraId="75E2D3A3" w14:textId="77777777" w:rsidR="005A6C08" w:rsidRDefault="005A6C08" w:rsidP="005A6C08">
      <w:pPr>
        <w:jc w:val="both"/>
        <w:rPr>
          <w:sz w:val="22"/>
          <w:szCs w:val="22"/>
        </w:rPr>
      </w:pPr>
    </w:p>
    <w:p w14:paraId="19DDFDB7" w14:textId="77777777" w:rsidR="005A6C08" w:rsidRDefault="005A6C08" w:rsidP="005A6C08">
      <w:pPr>
        <w:pStyle w:val="Listenabsatz"/>
        <w:numPr>
          <w:ilvl w:val="0"/>
          <w:numId w:val="15"/>
        </w:numPr>
        <w:jc w:val="both"/>
        <w:rPr>
          <w:sz w:val="22"/>
          <w:szCs w:val="22"/>
        </w:rPr>
      </w:pPr>
      <w:r w:rsidRPr="005C3073">
        <w:rPr>
          <w:sz w:val="22"/>
          <w:szCs w:val="22"/>
        </w:rPr>
        <w:t>während Tätigkeiten mit erhöhter Gefahr des Ei</w:t>
      </w:r>
      <w:r>
        <w:rPr>
          <w:sz w:val="22"/>
          <w:szCs w:val="22"/>
        </w:rPr>
        <w:t xml:space="preserve">natmens infektiöser Partikel  </w:t>
      </w:r>
    </w:p>
    <w:p w14:paraId="745B25BA" w14:textId="77777777" w:rsidR="005A6C08" w:rsidRDefault="005A6C08" w:rsidP="005A6C08">
      <w:pPr>
        <w:pStyle w:val="Listenabsatz"/>
        <w:numPr>
          <w:ilvl w:val="0"/>
          <w:numId w:val="15"/>
        </w:numPr>
        <w:jc w:val="both"/>
        <w:rPr>
          <w:sz w:val="22"/>
          <w:szCs w:val="22"/>
        </w:rPr>
      </w:pPr>
      <w:r w:rsidRPr="005C3073">
        <w:rPr>
          <w:sz w:val="22"/>
          <w:szCs w:val="22"/>
        </w:rPr>
        <w:t>bei der Versorgung von Patienten mit bestimmten aerosol übertragbaren Erregern (siehe Anhang „Übersicht zu übertragbar</w:t>
      </w:r>
      <w:r>
        <w:rPr>
          <w:sz w:val="22"/>
          <w:szCs w:val="22"/>
        </w:rPr>
        <w:t xml:space="preserve">en Krankheiten und Erregern“) </w:t>
      </w:r>
    </w:p>
    <w:p w14:paraId="67C33F03" w14:textId="77777777" w:rsidR="005A6C08" w:rsidRDefault="005A6C08" w:rsidP="005A6C08">
      <w:pPr>
        <w:pStyle w:val="Listenabsatz"/>
        <w:numPr>
          <w:ilvl w:val="0"/>
          <w:numId w:val="15"/>
        </w:numPr>
        <w:jc w:val="both"/>
        <w:rPr>
          <w:sz w:val="22"/>
          <w:szCs w:val="22"/>
        </w:rPr>
      </w:pPr>
      <w:r w:rsidRPr="005C3073">
        <w:rPr>
          <w:sz w:val="22"/>
          <w:szCs w:val="22"/>
        </w:rPr>
        <w:t>ggf. Verwendung durch sta</w:t>
      </w:r>
      <w:r>
        <w:rPr>
          <w:sz w:val="22"/>
          <w:szCs w:val="22"/>
        </w:rPr>
        <w:t xml:space="preserve">rk hustende Patienten mit TBC </w:t>
      </w:r>
    </w:p>
    <w:p w14:paraId="48554C67" w14:textId="77777777" w:rsidR="005A6C08" w:rsidRPr="005C3073" w:rsidRDefault="005A6C08" w:rsidP="005A6C08">
      <w:pPr>
        <w:pStyle w:val="Listenabsatz"/>
        <w:numPr>
          <w:ilvl w:val="0"/>
          <w:numId w:val="15"/>
        </w:numPr>
        <w:jc w:val="both"/>
        <w:rPr>
          <w:sz w:val="22"/>
          <w:szCs w:val="22"/>
        </w:rPr>
      </w:pPr>
      <w:r w:rsidRPr="005C3073">
        <w:rPr>
          <w:sz w:val="22"/>
          <w:szCs w:val="22"/>
        </w:rPr>
        <w:t xml:space="preserve">CAVE: infektiöse Patienten dürfen keine Maske mit Ausatemventil tragen! </w:t>
      </w:r>
    </w:p>
    <w:p w14:paraId="0B60DDFE" w14:textId="77777777" w:rsidR="005A6C08" w:rsidRPr="005C3073" w:rsidRDefault="005A6C08" w:rsidP="005A6C08">
      <w:pPr>
        <w:jc w:val="both"/>
        <w:rPr>
          <w:sz w:val="22"/>
          <w:szCs w:val="22"/>
        </w:rPr>
      </w:pPr>
      <w:r w:rsidRPr="005C3073">
        <w:rPr>
          <w:sz w:val="22"/>
          <w:szCs w:val="22"/>
        </w:rPr>
        <w:t xml:space="preserve"> </w:t>
      </w:r>
    </w:p>
    <w:p w14:paraId="1E311332" w14:textId="77777777" w:rsidR="005A6C08" w:rsidRDefault="005A6C08" w:rsidP="005A6C08">
      <w:pPr>
        <w:jc w:val="both"/>
        <w:rPr>
          <w:sz w:val="22"/>
          <w:szCs w:val="22"/>
        </w:rPr>
      </w:pPr>
      <w:r w:rsidRPr="005C3073">
        <w:rPr>
          <w:sz w:val="22"/>
          <w:szCs w:val="22"/>
        </w:rPr>
        <w:t>In folgenden Situationen ist das Tragen</w:t>
      </w:r>
      <w:r>
        <w:rPr>
          <w:sz w:val="22"/>
          <w:szCs w:val="22"/>
        </w:rPr>
        <w:t xml:space="preserve"> einer FFP 3-Maske notwendig: </w:t>
      </w:r>
    </w:p>
    <w:p w14:paraId="5BBA284C" w14:textId="77777777" w:rsidR="005A6C08" w:rsidRDefault="005A6C08" w:rsidP="005A6C08">
      <w:pPr>
        <w:pStyle w:val="Listenabsatz"/>
        <w:numPr>
          <w:ilvl w:val="0"/>
          <w:numId w:val="16"/>
        </w:numPr>
        <w:jc w:val="both"/>
        <w:rPr>
          <w:sz w:val="22"/>
          <w:szCs w:val="22"/>
        </w:rPr>
      </w:pPr>
      <w:r>
        <w:rPr>
          <w:sz w:val="22"/>
          <w:szCs w:val="22"/>
        </w:rPr>
        <w:t xml:space="preserve">alternativ zur FFP 2-Maske </w:t>
      </w:r>
    </w:p>
    <w:p w14:paraId="0FA8E239" w14:textId="77777777" w:rsidR="005A6C08" w:rsidRDefault="005A6C08" w:rsidP="005A6C08">
      <w:pPr>
        <w:pStyle w:val="Listenabsatz"/>
        <w:numPr>
          <w:ilvl w:val="0"/>
          <w:numId w:val="16"/>
        </w:numPr>
        <w:jc w:val="both"/>
        <w:rPr>
          <w:sz w:val="22"/>
          <w:szCs w:val="22"/>
        </w:rPr>
      </w:pPr>
      <w:r w:rsidRPr="005C3073">
        <w:rPr>
          <w:sz w:val="22"/>
          <w:szCs w:val="22"/>
        </w:rPr>
        <w:t>bei der Versorgung von Patie</w:t>
      </w:r>
      <w:r>
        <w:rPr>
          <w:sz w:val="22"/>
          <w:szCs w:val="22"/>
        </w:rPr>
        <w:t xml:space="preserve">nten mit multiresistenter TBC </w:t>
      </w:r>
    </w:p>
    <w:p w14:paraId="5CFB6CC9" w14:textId="77777777" w:rsidR="005A6C08" w:rsidRPr="005C3073" w:rsidRDefault="005A6C08" w:rsidP="005A6C08">
      <w:pPr>
        <w:pStyle w:val="Listenabsatz"/>
        <w:numPr>
          <w:ilvl w:val="0"/>
          <w:numId w:val="16"/>
        </w:numPr>
        <w:jc w:val="both"/>
        <w:rPr>
          <w:sz w:val="22"/>
          <w:szCs w:val="22"/>
        </w:rPr>
      </w:pPr>
      <w:r w:rsidRPr="005C3073">
        <w:rPr>
          <w:sz w:val="22"/>
          <w:szCs w:val="22"/>
        </w:rPr>
        <w:t xml:space="preserve">bei der Versorgung von Patienten mit hochkontagiösen lebensbedrohlichen Krankheitserregern (z.B. SARS, Ebola-Virus) </w:t>
      </w:r>
    </w:p>
    <w:p w14:paraId="3489512F" w14:textId="77777777" w:rsidR="005A6C08" w:rsidRPr="005C3073" w:rsidRDefault="005A6C08" w:rsidP="005A6C08">
      <w:pPr>
        <w:jc w:val="both"/>
        <w:rPr>
          <w:sz w:val="22"/>
          <w:szCs w:val="22"/>
        </w:rPr>
      </w:pPr>
      <w:r w:rsidRPr="005C3073">
        <w:rPr>
          <w:sz w:val="22"/>
          <w:szCs w:val="22"/>
        </w:rPr>
        <w:t xml:space="preserve"> </w:t>
      </w:r>
    </w:p>
    <w:p w14:paraId="12FC3CB6" w14:textId="77777777" w:rsidR="005A6C08" w:rsidRPr="005C3073" w:rsidRDefault="005A6C08" w:rsidP="005A6C08">
      <w:pPr>
        <w:jc w:val="both"/>
        <w:rPr>
          <w:b/>
          <w:sz w:val="22"/>
          <w:szCs w:val="22"/>
        </w:rPr>
      </w:pPr>
      <w:r w:rsidRPr="005C3073">
        <w:rPr>
          <w:b/>
          <w:sz w:val="22"/>
          <w:szCs w:val="22"/>
        </w:rPr>
        <w:t xml:space="preserve">Augen-/Gesichtsschutz </w:t>
      </w:r>
    </w:p>
    <w:p w14:paraId="71B1D447" w14:textId="77777777" w:rsidR="005A6C08" w:rsidRPr="005C3073" w:rsidRDefault="005A6C08" w:rsidP="005A6C08">
      <w:pPr>
        <w:jc w:val="both"/>
        <w:rPr>
          <w:sz w:val="22"/>
          <w:szCs w:val="22"/>
        </w:rPr>
      </w:pPr>
      <w:r w:rsidRPr="005C3073">
        <w:rPr>
          <w:sz w:val="22"/>
          <w:szCs w:val="22"/>
        </w:rPr>
        <w:t xml:space="preserve"> </w:t>
      </w:r>
    </w:p>
    <w:p w14:paraId="4E29908B" w14:textId="77777777" w:rsidR="005A6C08" w:rsidRDefault="005A6C08" w:rsidP="005A6C08">
      <w:pPr>
        <w:jc w:val="both"/>
        <w:rPr>
          <w:sz w:val="22"/>
          <w:szCs w:val="22"/>
        </w:rPr>
      </w:pPr>
      <w:r w:rsidRPr="005C3073">
        <w:rPr>
          <w:sz w:val="22"/>
          <w:szCs w:val="22"/>
        </w:rPr>
        <w:t>Bei allen Tätigkeiten, bei denen mit einem Verspritzen von Körperflüssigkeiten und Chemikalien zu rechnen ist, wird ein Augen-/Gesichtsschutz getragen. Dies kann in folgende</w:t>
      </w:r>
      <w:r>
        <w:rPr>
          <w:sz w:val="22"/>
          <w:szCs w:val="22"/>
        </w:rPr>
        <w:t xml:space="preserve">n Situationen notwendig sein: </w:t>
      </w:r>
    </w:p>
    <w:p w14:paraId="2B9AFBF0" w14:textId="77777777" w:rsidR="005A6C08" w:rsidRDefault="005A6C08" w:rsidP="005A6C08">
      <w:pPr>
        <w:jc w:val="both"/>
        <w:rPr>
          <w:sz w:val="22"/>
          <w:szCs w:val="22"/>
        </w:rPr>
      </w:pPr>
    </w:p>
    <w:p w14:paraId="73BFFF0D" w14:textId="77777777" w:rsidR="005A6C08" w:rsidRDefault="005A6C08" w:rsidP="005A6C08">
      <w:pPr>
        <w:pStyle w:val="Listenabsatz"/>
        <w:numPr>
          <w:ilvl w:val="0"/>
          <w:numId w:val="17"/>
        </w:numPr>
        <w:jc w:val="both"/>
        <w:rPr>
          <w:sz w:val="22"/>
          <w:szCs w:val="22"/>
        </w:rPr>
      </w:pPr>
      <w:r w:rsidRPr="005C3073">
        <w:rPr>
          <w:sz w:val="22"/>
          <w:szCs w:val="22"/>
        </w:rPr>
        <w:t>Eingriffe und Untersuchun</w:t>
      </w:r>
      <w:r>
        <w:rPr>
          <w:sz w:val="22"/>
          <w:szCs w:val="22"/>
        </w:rPr>
        <w:t xml:space="preserve">gen mit erhöhter Spritzgefahr </w:t>
      </w:r>
    </w:p>
    <w:p w14:paraId="27A87FE6" w14:textId="77777777" w:rsidR="005A6C08" w:rsidRDefault="005A6C08" w:rsidP="005A6C08">
      <w:pPr>
        <w:pStyle w:val="Listenabsatz"/>
        <w:numPr>
          <w:ilvl w:val="0"/>
          <w:numId w:val="17"/>
        </w:numPr>
        <w:jc w:val="both"/>
        <w:rPr>
          <w:sz w:val="22"/>
          <w:szCs w:val="22"/>
        </w:rPr>
      </w:pPr>
      <w:r w:rsidRPr="005C3073">
        <w:rPr>
          <w:sz w:val="22"/>
          <w:szCs w:val="22"/>
        </w:rPr>
        <w:t>Umgang mit Chemikalien (z.B. Reiniger oder Desinfektions</w:t>
      </w:r>
      <w:r>
        <w:rPr>
          <w:sz w:val="22"/>
          <w:szCs w:val="22"/>
        </w:rPr>
        <w:t xml:space="preserve">mittel) </w:t>
      </w:r>
    </w:p>
    <w:p w14:paraId="063F5CDF" w14:textId="77777777" w:rsidR="005A6C08" w:rsidRPr="005C3073" w:rsidRDefault="005A6C08" w:rsidP="005A6C08">
      <w:pPr>
        <w:pStyle w:val="Listenabsatz"/>
        <w:numPr>
          <w:ilvl w:val="0"/>
          <w:numId w:val="17"/>
        </w:numPr>
        <w:jc w:val="both"/>
        <w:rPr>
          <w:sz w:val="22"/>
          <w:szCs w:val="22"/>
        </w:rPr>
      </w:pPr>
      <w:r w:rsidRPr="005C3073">
        <w:rPr>
          <w:sz w:val="22"/>
          <w:szCs w:val="22"/>
        </w:rPr>
        <w:t xml:space="preserve">Aufbereitung von Medizinprodukten </w:t>
      </w:r>
    </w:p>
    <w:p w14:paraId="47DA80F9" w14:textId="77777777" w:rsidR="005A6C08" w:rsidRPr="005C3073" w:rsidRDefault="005A6C08" w:rsidP="005A6C08">
      <w:pPr>
        <w:jc w:val="both"/>
        <w:rPr>
          <w:sz w:val="22"/>
          <w:szCs w:val="22"/>
        </w:rPr>
      </w:pPr>
      <w:r>
        <w:rPr>
          <w:sz w:val="22"/>
          <w:szCs w:val="22"/>
        </w:rPr>
        <w:t xml:space="preserve"> </w:t>
      </w:r>
    </w:p>
    <w:p w14:paraId="24929F82" w14:textId="77777777" w:rsidR="005A6C08" w:rsidRPr="005C3073" w:rsidRDefault="005A6C08" w:rsidP="005A6C08">
      <w:pPr>
        <w:jc w:val="both"/>
        <w:rPr>
          <w:b/>
          <w:sz w:val="22"/>
          <w:szCs w:val="22"/>
        </w:rPr>
      </w:pPr>
      <w:r w:rsidRPr="005C3073">
        <w:rPr>
          <w:b/>
          <w:sz w:val="22"/>
          <w:szCs w:val="22"/>
        </w:rPr>
        <w:t xml:space="preserve">An- und Ablegen der Bekleidung und persönlichen Schutzausrüstung </w:t>
      </w:r>
    </w:p>
    <w:p w14:paraId="27FE09E8" w14:textId="77777777" w:rsidR="005A6C08" w:rsidRPr="005C3073" w:rsidRDefault="005A6C08" w:rsidP="005A6C08">
      <w:pPr>
        <w:jc w:val="both"/>
        <w:rPr>
          <w:sz w:val="22"/>
          <w:szCs w:val="22"/>
        </w:rPr>
      </w:pPr>
      <w:r w:rsidRPr="005C3073">
        <w:rPr>
          <w:sz w:val="22"/>
          <w:szCs w:val="22"/>
        </w:rPr>
        <w:t xml:space="preserve"> </w:t>
      </w:r>
    </w:p>
    <w:p w14:paraId="57CECE4A" w14:textId="77777777" w:rsidR="005A6C08" w:rsidRDefault="005A6C08" w:rsidP="005A6C08">
      <w:pPr>
        <w:jc w:val="both"/>
        <w:rPr>
          <w:sz w:val="22"/>
          <w:szCs w:val="22"/>
        </w:rPr>
      </w:pPr>
      <w:r w:rsidRPr="005C3073">
        <w:rPr>
          <w:sz w:val="22"/>
          <w:szCs w:val="22"/>
        </w:rPr>
        <w:t xml:space="preserve">Ein Wechsel der Bekleidung erfolgt täglich sowie nach Bedarf. Die persönliche Schutzausrüstung wird patienten- bzw. tätigkeitsbezogen eingesetzt. Das Ablegen von Bekleidung und Schutzausrüstung erfolgt unter Vermeidung einer Kontamination der Umgebung. </w:t>
      </w:r>
    </w:p>
    <w:p w14:paraId="33CCD1E3" w14:textId="77777777" w:rsidR="005A6C08" w:rsidRDefault="005A6C08" w:rsidP="005A6C08">
      <w:pPr>
        <w:jc w:val="both"/>
        <w:rPr>
          <w:sz w:val="22"/>
          <w:szCs w:val="22"/>
        </w:rPr>
      </w:pPr>
    </w:p>
    <w:p w14:paraId="539CC59C" w14:textId="77777777" w:rsidR="005A6C08" w:rsidRPr="005C3073" w:rsidRDefault="005A6C08" w:rsidP="005A6C08">
      <w:pPr>
        <w:jc w:val="both"/>
        <w:rPr>
          <w:sz w:val="22"/>
          <w:szCs w:val="22"/>
        </w:rPr>
      </w:pPr>
      <w:r w:rsidRPr="005C3073">
        <w:rPr>
          <w:sz w:val="22"/>
          <w:szCs w:val="22"/>
        </w:rPr>
        <w:t xml:space="preserve">Einmalmaterialien werden in Abfallbehältnisse abgeworfen, Materialien wie Wäsche und Mehrwegschutzausrüstung werden der Aufbereitung zugeführt. Anschließend wird eine hygienische Händedesinfektion durchgeführt.  </w:t>
      </w:r>
    </w:p>
    <w:p w14:paraId="4055CAD6" w14:textId="77777777" w:rsidR="005A6C08" w:rsidRPr="005C3073" w:rsidRDefault="005A6C08" w:rsidP="005A6C08">
      <w:pPr>
        <w:jc w:val="both"/>
        <w:rPr>
          <w:sz w:val="22"/>
          <w:szCs w:val="22"/>
        </w:rPr>
      </w:pPr>
      <w:r w:rsidRPr="005C3073">
        <w:rPr>
          <w:sz w:val="22"/>
          <w:szCs w:val="22"/>
        </w:rPr>
        <w:t xml:space="preserve"> </w:t>
      </w:r>
    </w:p>
    <w:p w14:paraId="3653536D" w14:textId="77777777" w:rsidR="005A6C08" w:rsidRPr="005C3073" w:rsidRDefault="005A6C08" w:rsidP="005A6C08">
      <w:pPr>
        <w:jc w:val="both"/>
        <w:rPr>
          <w:sz w:val="22"/>
          <w:szCs w:val="22"/>
        </w:rPr>
      </w:pPr>
      <w:r w:rsidRPr="005C3073">
        <w:rPr>
          <w:sz w:val="22"/>
          <w:szCs w:val="22"/>
        </w:rPr>
        <w:t xml:space="preserve">Womit: </w:t>
      </w:r>
    </w:p>
    <w:p w14:paraId="35B454B7" w14:textId="77777777" w:rsidR="005A6C08" w:rsidRPr="005C3073" w:rsidRDefault="005A6C08" w:rsidP="005A6C08">
      <w:pPr>
        <w:jc w:val="both"/>
        <w:rPr>
          <w:sz w:val="22"/>
          <w:szCs w:val="22"/>
        </w:rPr>
      </w:pPr>
      <w:r w:rsidRPr="005C3073">
        <w:rPr>
          <w:sz w:val="22"/>
          <w:szCs w:val="22"/>
        </w:rPr>
        <w:t xml:space="preserve"> </w:t>
      </w:r>
    </w:p>
    <w:p w14:paraId="6222BB55" w14:textId="77777777" w:rsidR="005A6C08" w:rsidRDefault="005A6C08" w:rsidP="005A6C08">
      <w:pPr>
        <w:jc w:val="both"/>
        <w:rPr>
          <w:sz w:val="22"/>
          <w:szCs w:val="22"/>
        </w:rPr>
      </w:pPr>
      <w:r w:rsidRPr="005C3073">
        <w:rPr>
          <w:sz w:val="22"/>
          <w:szCs w:val="22"/>
        </w:rPr>
        <w:t>Siehe Anhang „Rein</w:t>
      </w:r>
      <w:r>
        <w:rPr>
          <w:sz w:val="22"/>
          <w:szCs w:val="22"/>
        </w:rPr>
        <w:t>igungs- und Desinfektionsplan“</w:t>
      </w:r>
    </w:p>
    <w:p w14:paraId="69799753" w14:textId="77777777" w:rsidR="005A6C08" w:rsidRDefault="005A6C08" w:rsidP="005A6C08">
      <w:pPr>
        <w:jc w:val="both"/>
        <w:rPr>
          <w:sz w:val="22"/>
          <w:szCs w:val="22"/>
        </w:rPr>
      </w:pPr>
    </w:p>
    <w:p w14:paraId="20C4DC1B" w14:textId="3F851B51" w:rsidR="008540C2" w:rsidRPr="005A6C08" w:rsidRDefault="008540C2" w:rsidP="005A6C08"/>
    <w:sectPr w:rsidR="008540C2" w:rsidRPr="005A6C08"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82FF" w14:textId="77777777" w:rsidR="00843AC6" w:rsidRDefault="00843AC6" w:rsidP="006E77A1">
      <w:r>
        <w:separator/>
      </w:r>
    </w:p>
  </w:endnote>
  <w:endnote w:type="continuationSeparator" w:id="0">
    <w:p w14:paraId="01F452B6" w14:textId="77777777" w:rsidR="00843AC6" w:rsidRDefault="00843AC6"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StarSymbol">
    <w:altName w:val="Segoe UI Symbol"/>
    <w:charset w:val="02"/>
    <w:family w:val="auto"/>
    <w:pitch w:val="default"/>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753EC" w14:textId="77777777" w:rsidR="00843AC6" w:rsidRDefault="00843AC6" w:rsidP="006E77A1">
      <w:r>
        <w:separator/>
      </w:r>
    </w:p>
  </w:footnote>
  <w:footnote w:type="continuationSeparator" w:id="0">
    <w:p w14:paraId="016B16C3" w14:textId="77777777" w:rsidR="00843AC6" w:rsidRDefault="00843AC6"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34"/>
    <w:multiLevelType w:val="hybridMultilevel"/>
    <w:tmpl w:val="794CF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6108D5"/>
    <w:multiLevelType w:val="hybridMultilevel"/>
    <w:tmpl w:val="E340B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395C5D"/>
    <w:multiLevelType w:val="hybridMultilevel"/>
    <w:tmpl w:val="2A764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9949B4"/>
    <w:multiLevelType w:val="hybridMultilevel"/>
    <w:tmpl w:val="5FC21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F262AA"/>
    <w:multiLevelType w:val="hybridMultilevel"/>
    <w:tmpl w:val="B6929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A03A80"/>
    <w:multiLevelType w:val="hybridMultilevel"/>
    <w:tmpl w:val="F9421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645D72"/>
    <w:multiLevelType w:val="hybridMultilevel"/>
    <w:tmpl w:val="6AB8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E0800"/>
    <w:multiLevelType w:val="hybridMultilevel"/>
    <w:tmpl w:val="3A320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FC36DC"/>
    <w:multiLevelType w:val="hybridMultilevel"/>
    <w:tmpl w:val="C81C5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8A5446"/>
    <w:multiLevelType w:val="multilevel"/>
    <w:tmpl w:val="A2284996"/>
    <w:lvl w:ilvl="0">
      <w:start w:val="1"/>
      <w:numFmt w:val="decimal"/>
      <w:lvlText w:val="(%1)"/>
      <w:lvlJc w:val="left"/>
      <w:pPr>
        <w:ind w:left="397" w:hanging="397"/>
      </w:pPr>
      <w:rPr>
        <w:rFonts w:ascii="Arial" w:eastAsia="Droid Sans Fallback" w:hAnsi="Arial" w:cs="Arial"/>
      </w:rPr>
    </w:lvl>
    <w:lvl w:ilvl="1">
      <w:numFmt w:val="bullet"/>
      <w:lvlText w:val="◦"/>
      <w:lvlJc w:val="left"/>
      <w:pPr>
        <w:ind w:left="850" w:hanging="283"/>
      </w:pPr>
      <w:rPr>
        <w:rFonts w:ascii="StarSymbol" w:eastAsia="OpenSymbol" w:hAnsi="StarSymbol" w:cs="OpenSymbol"/>
        <w:shd w:val="clear" w:color="auto" w:fill="auto"/>
      </w:rPr>
    </w:lvl>
    <w:lvl w:ilvl="2">
      <w:start w:val="1"/>
      <w:numFmt w:val="decimal"/>
      <w:suff w:val="space"/>
      <w:lvlText w:val="%3."/>
      <w:lvlJc w:val="left"/>
    </w:lvl>
    <w:lvl w:ilvl="3">
      <w:start w:val="1"/>
      <w:numFmt w:val="decimal"/>
      <w:suff w:val="space"/>
      <w:lvlText w:val="%4."/>
      <w:lvlJc w:val="left"/>
    </w:lvl>
    <w:lvl w:ilvl="4">
      <w:start w:val="1"/>
      <w:numFmt w:val="decimal"/>
      <w:suff w:val="space"/>
      <w:lvlText w:val="%5."/>
      <w:lvlJc w:val="left"/>
    </w:lvl>
    <w:lvl w:ilvl="5">
      <w:start w:val="1"/>
      <w:numFmt w:val="decimal"/>
      <w:suff w:val="space"/>
      <w:lvlText w:val="%6."/>
      <w:lvlJc w:val="left"/>
    </w:lvl>
    <w:lvl w:ilvl="6">
      <w:start w:val="1"/>
      <w:numFmt w:val="decimal"/>
      <w:suff w:val="space"/>
      <w:lvlText w:val="%7."/>
      <w:lvlJc w:val="left"/>
    </w:lvl>
    <w:lvl w:ilvl="7">
      <w:start w:val="1"/>
      <w:numFmt w:val="decimal"/>
      <w:suff w:val="space"/>
      <w:lvlText w:val="%8."/>
      <w:lvlJc w:val="left"/>
    </w:lvl>
    <w:lvl w:ilvl="8">
      <w:start w:val="1"/>
      <w:numFmt w:val="decimal"/>
      <w:suff w:val="space"/>
      <w:lvlText w:val="%9."/>
      <w:lvlJc w:val="left"/>
    </w:lvl>
  </w:abstractNum>
  <w:abstractNum w:abstractNumId="10" w15:restartNumberingAfterBreak="0">
    <w:nsid w:val="4E49171D"/>
    <w:multiLevelType w:val="hybridMultilevel"/>
    <w:tmpl w:val="CFEE7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A5012B"/>
    <w:multiLevelType w:val="hybridMultilevel"/>
    <w:tmpl w:val="E390A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396FEE"/>
    <w:multiLevelType w:val="hybridMultilevel"/>
    <w:tmpl w:val="A28C4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C76D66"/>
    <w:multiLevelType w:val="hybridMultilevel"/>
    <w:tmpl w:val="497C7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4879E1"/>
    <w:multiLevelType w:val="hybridMultilevel"/>
    <w:tmpl w:val="ED80F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DD227C"/>
    <w:multiLevelType w:val="hybridMultilevel"/>
    <w:tmpl w:val="29F64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500731"/>
    <w:multiLevelType w:val="hybridMultilevel"/>
    <w:tmpl w:val="2504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005053">
    <w:abstractNumId w:val="12"/>
  </w:num>
  <w:num w:numId="2" w16cid:durableId="257909389">
    <w:abstractNumId w:val="9"/>
  </w:num>
  <w:num w:numId="3" w16cid:durableId="41371771">
    <w:abstractNumId w:val="7"/>
  </w:num>
  <w:num w:numId="4" w16cid:durableId="1602834753">
    <w:abstractNumId w:val="14"/>
  </w:num>
  <w:num w:numId="5" w16cid:durableId="494952803">
    <w:abstractNumId w:val="8"/>
  </w:num>
  <w:num w:numId="6" w16cid:durableId="1600018470">
    <w:abstractNumId w:val="15"/>
  </w:num>
  <w:num w:numId="7" w16cid:durableId="1651060106">
    <w:abstractNumId w:val="2"/>
  </w:num>
  <w:num w:numId="8" w16cid:durableId="1067269674">
    <w:abstractNumId w:val="3"/>
  </w:num>
  <w:num w:numId="9" w16cid:durableId="246311070">
    <w:abstractNumId w:val="16"/>
  </w:num>
  <w:num w:numId="10" w16cid:durableId="1044595188">
    <w:abstractNumId w:val="13"/>
  </w:num>
  <w:num w:numId="11" w16cid:durableId="1464074606">
    <w:abstractNumId w:val="1"/>
  </w:num>
  <w:num w:numId="12" w16cid:durableId="971642838">
    <w:abstractNumId w:val="11"/>
  </w:num>
  <w:num w:numId="13" w16cid:durableId="691691560">
    <w:abstractNumId w:val="5"/>
  </w:num>
  <w:num w:numId="14" w16cid:durableId="585918367">
    <w:abstractNumId w:val="0"/>
  </w:num>
  <w:num w:numId="15" w16cid:durableId="383796124">
    <w:abstractNumId w:val="10"/>
  </w:num>
  <w:num w:numId="16" w16cid:durableId="1771388438">
    <w:abstractNumId w:val="6"/>
  </w:num>
  <w:num w:numId="17" w16cid:durableId="214702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2D17C0"/>
    <w:rsid w:val="002E168E"/>
    <w:rsid w:val="00365897"/>
    <w:rsid w:val="00397CEA"/>
    <w:rsid w:val="004D49FE"/>
    <w:rsid w:val="004E3C72"/>
    <w:rsid w:val="00553BD4"/>
    <w:rsid w:val="0057587E"/>
    <w:rsid w:val="005A6C08"/>
    <w:rsid w:val="006721C3"/>
    <w:rsid w:val="006E77A1"/>
    <w:rsid w:val="00727B47"/>
    <w:rsid w:val="00755F24"/>
    <w:rsid w:val="008323FD"/>
    <w:rsid w:val="00843AC6"/>
    <w:rsid w:val="008540C2"/>
    <w:rsid w:val="008D7D78"/>
    <w:rsid w:val="00997732"/>
    <w:rsid w:val="009F7209"/>
    <w:rsid w:val="00AD2E45"/>
    <w:rsid w:val="00B15CFE"/>
    <w:rsid w:val="00B3451A"/>
    <w:rsid w:val="00C56F55"/>
    <w:rsid w:val="00CB74F4"/>
    <w:rsid w:val="00DC0C50"/>
    <w:rsid w:val="00DF064A"/>
    <w:rsid w:val="00E74A6A"/>
    <w:rsid w:val="00EA3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5</cp:revision>
  <dcterms:created xsi:type="dcterms:W3CDTF">2022-09-12T11:54:00Z</dcterms:created>
  <dcterms:modified xsi:type="dcterms:W3CDTF">2022-09-12T11:56:00Z</dcterms:modified>
</cp:coreProperties>
</file>