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2295" w14:textId="37F32A44" w:rsidR="005D10AB" w:rsidRDefault="00964DF4" w:rsidP="00964DF4">
      <w:pPr>
        <w:spacing w:after="0"/>
        <w:rPr>
          <w:rFonts w:ascii="Arial" w:hAnsi="Arial" w:cs="Arial"/>
          <w:b/>
          <w:bCs/>
          <w:noProof/>
          <w:sz w:val="24"/>
          <w:szCs w:val="24"/>
        </w:rPr>
      </w:pPr>
      <w:r w:rsidRPr="00964DF4">
        <w:rPr>
          <w:rFonts w:ascii="Arial" w:hAnsi="Arial" w:cs="Arial"/>
          <w:b/>
          <w:bCs/>
          <w:noProof/>
          <w:sz w:val="24"/>
          <w:szCs w:val="24"/>
        </w:rPr>
        <w:t>An- und Ablegen von Schutzausstattung (PSA)</w:t>
      </w:r>
    </w:p>
    <w:p w14:paraId="06A9346B" w14:textId="77777777" w:rsidR="00DA3004" w:rsidRDefault="00DA3004" w:rsidP="00964DF4">
      <w:pPr>
        <w:spacing w:after="0"/>
        <w:rPr>
          <w:rFonts w:ascii="Arial" w:hAnsi="Arial" w:cs="Arial"/>
          <w:b/>
          <w:bCs/>
          <w:noProof/>
          <w:sz w:val="24"/>
          <w:szCs w:val="24"/>
        </w:rPr>
      </w:pPr>
    </w:p>
    <w:p w14:paraId="5DEDF111" w14:textId="68C74C22" w:rsidR="00964DF4" w:rsidRDefault="00964DF4" w:rsidP="00DA3004">
      <w:pPr>
        <w:spacing w:after="0"/>
        <w:jc w:val="center"/>
        <w:rPr>
          <w:rFonts w:ascii="Arial" w:hAnsi="Arial" w:cs="Arial"/>
          <w:noProof/>
          <w:sz w:val="24"/>
          <w:szCs w:val="24"/>
        </w:rPr>
      </w:pPr>
      <w:r w:rsidRPr="00964DF4">
        <w:rPr>
          <w:rFonts w:ascii="Arial" w:hAnsi="Arial" w:cs="Arial"/>
          <w:noProof/>
          <w:sz w:val="24"/>
          <w:szCs w:val="24"/>
        </w:rPr>
        <w:t>Richtige Reihenfolge beim Anlegen und Ablegen von PSA Hygiene</w:t>
      </w:r>
    </w:p>
    <w:p w14:paraId="40C09A7B" w14:textId="77777777" w:rsidR="00DA3004" w:rsidRPr="00964DF4" w:rsidRDefault="00DA3004" w:rsidP="00964DF4">
      <w:pPr>
        <w:spacing w:after="0"/>
        <w:rPr>
          <w:rFonts w:ascii="Arial" w:hAnsi="Arial" w:cs="Arial"/>
          <w:noProof/>
          <w:sz w:val="24"/>
          <w:szCs w:val="24"/>
        </w:rPr>
      </w:pPr>
    </w:p>
    <w:p w14:paraId="73F8A192" w14:textId="02563BDA" w:rsidR="00964DF4" w:rsidRDefault="00964DF4" w:rsidP="00964DF4">
      <w:pPr>
        <w:spacing w:after="0"/>
        <w:rPr>
          <w:rFonts w:ascii="Arial" w:hAnsi="Arial" w:cs="Arial"/>
          <w:b/>
          <w:bCs/>
          <w:sz w:val="24"/>
          <w:szCs w:val="24"/>
        </w:rPr>
      </w:pPr>
      <w:r>
        <w:rPr>
          <w:rFonts w:ascii="Arial" w:hAnsi="Arial" w:cs="Arial"/>
          <w:b/>
          <w:bCs/>
          <w:noProof/>
          <w:sz w:val="24"/>
          <w:szCs w:val="24"/>
        </w:rPr>
        <w:drawing>
          <wp:inline distT="0" distB="0" distL="0" distR="0" wp14:anchorId="33040059" wp14:editId="3639350C">
            <wp:extent cx="6437188" cy="6964680"/>
            <wp:effectExtent l="0" t="0" r="1905"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45478" cy="6973650"/>
                    </a:xfrm>
                    <a:prstGeom prst="rect">
                      <a:avLst/>
                    </a:prstGeom>
                    <a:noFill/>
                    <a:ln>
                      <a:noFill/>
                    </a:ln>
                  </pic:spPr>
                </pic:pic>
              </a:graphicData>
            </a:graphic>
          </wp:inline>
        </w:drawing>
      </w:r>
    </w:p>
    <w:p w14:paraId="4142C728" w14:textId="074596EF" w:rsidR="00964DF4" w:rsidRDefault="00964DF4" w:rsidP="00964DF4">
      <w:pPr>
        <w:spacing w:after="0"/>
        <w:rPr>
          <w:rFonts w:ascii="Arial" w:hAnsi="Arial" w:cs="Arial"/>
          <w:b/>
          <w:bCs/>
          <w:sz w:val="24"/>
          <w:szCs w:val="24"/>
        </w:rPr>
      </w:pPr>
      <w:r>
        <w:rPr>
          <w:rFonts w:ascii="Arial" w:hAnsi="Arial" w:cs="Arial"/>
          <w:b/>
          <w:bCs/>
          <w:sz w:val="24"/>
          <w:szCs w:val="24"/>
        </w:rPr>
        <w:t>Grundsätzlich gilt:</w:t>
      </w:r>
    </w:p>
    <w:p w14:paraId="13BC0886" w14:textId="1D27BDD1" w:rsidR="00964DF4" w:rsidRDefault="00DA3004" w:rsidP="00DA3004">
      <w:pPr>
        <w:spacing w:after="0"/>
        <w:jc w:val="both"/>
        <w:rPr>
          <w:rFonts w:ascii="Arial" w:hAnsi="Arial" w:cs="Arial"/>
          <w:sz w:val="24"/>
          <w:szCs w:val="24"/>
        </w:rPr>
      </w:pPr>
      <w:r>
        <w:rPr>
          <w:rFonts w:ascii="Arial" w:hAnsi="Arial" w:cs="Arial"/>
          <w:sz w:val="24"/>
          <w:szCs w:val="24"/>
        </w:rPr>
        <w:t>Nach jedem Kontakt mit potenziell Infektiösem Material sind die Hände gründlich zu desinfizieren (DIN EN 1500). Falls zwischen den einzelnen Schritten die Gefahr einer Händekontamination bestanden hat, sollte noch zusätzlich eine Händedesinfektion umgesetzt werden.</w:t>
      </w:r>
    </w:p>
    <w:p w14:paraId="18A9C016" w14:textId="433AD892" w:rsidR="00DC36E8" w:rsidRDefault="00DC36E8" w:rsidP="00DA3004">
      <w:pPr>
        <w:spacing w:after="0"/>
        <w:jc w:val="both"/>
        <w:rPr>
          <w:rFonts w:ascii="Arial" w:hAnsi="Arial" w:cs="Arial"/>
          <w:sz w:val="24"/>
          <w:szCs w:val="24"/>
        </w:rPr>
      </w:pPr>
    </w:p>
    <w:p w14:paraId="439324F1" w14:textId="1E2A4A86" w:rsidR="00DC36E8" w:rsidRPr="00964DF4" w:rsidRDefault="00DC36E8" w:rsidP="00DA3004">
      <w:pPr>
        <w:spacing w:after="0"/>
        <w:jc w:val="both"/>
        <w:rPr>
          <w:rFonts w:ascii="Arial" w:hAnsi="Arial" w:cs="Arial"/>
          <w:sz w:val="24"/>
          <w:szCs w:val="24"/>
        </w:rPr>
      </w:pPr>
      <w:r>
        <w:rPr>
          <w:rFonts w:ascii="Arial" w:hAnsi="Arial" w:cs="Arial"/>
          <w:sz w:val="24"/>
          <w:szCs w:val="24"/>
        </w:rPr>
        <w:t>Gebrauchte PSA ist unmittelbar am Ort des Ablegens sachgerecht, in einem verschlossenen Behälter / Abfallsack entsorgt werden. Infektiöses Material zur Entsorgung ist zu kennzeichnen und sachgerecht zu verwerten. Eine weitere Kontamination ist grundsätzlich auszuschließen.</w:t>
      </w:r>
    </w:p>
    <w:sectPr w:rsidR="00DC36E8" w:rsidRPr="00964DF4" w:rsidSect="00964DF4">
      <w:pgSz w:w="11906" w:h="16838"/>
      <w:pgMar w:top="1103"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7E"/>
    <w:rsid w:val="0012620C"/>
    <w:rsid w:val="004C4B7E"/>
    <w:rsid w:val="005D10AB"/>
    <w:rsid w:val="00797A36"/>
    <w:rsid w:val="00894144"/>
    <w:rsid w:val="00964DF4"/>
    <w:rsid w:val="00DA3004"/>
    <w:rsid w:val="00DC36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97C8"/>
  <w15:chartTrackingRefBased/>
  <w15:docId w15:val="{1F9D693A-7136-4D1E-82C3-81D7453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580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2022-12-22T14:39:00Z</dcterms:created>
  <dcterms:modified xsi:type="dcterms:W3CDTF">2022-12-22T14:39:00Z</dcterms:modified>
</cp:coreProperties>
</file>